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after="31"/>
        <w:ind w:firstLine="0" w:firstLineChars="0"/>
        <w:jc w:val="center"/>
        <w:rPr>
          <w:rFonts w:ascii="Times New Roman" w:hAnsi="Times New Roman"/>
          <w:kern w:val="0"/>
          <w:sz w:val="84"/>
          <w:szCs w:val="84"/>
        </w:rPr>
      </w:pPr>
    </w:p>
    <w:p>
      <w:pPr>
        <w:spacing w:before="31" w:after="31"/>
        <w:ind w:firstLine="0" w:firstLineChars="0"/>
        <w:jc w:val="center"/>
        <w:rPr>
          <w:rFonts w:ascii="方正小标宋简体" w:hAnsi="方正小标宋简体" w:eastAsia="方正小标宋简体" w:cs="方正小标宋简体"/>
          <w:kern w:val="0"/>
          <w:sz w:val="84"/>
          <w:szCs w:val="84"/>
        </w:rPr>
      </w:pPr>
    </w:p>
    <w:p>
      <w:pPr>
        <w:spacing w:before="31" w:after="31" w:line="720" w:lineRule="auto"/>
        <w:ind w:firstLine="0" w:firstLineChars="0"/>
        <w:jc w:val="center"/>
        <w:rPr>
          <w:rFonts w:ascii="方正小标宋简体" w:hAnsi="方正小标宋简体" w:eastAsia="方正小标宋简体" w:cs="方正小标宋简体"/>
          <w:kern w:val="0"/>
          <w:sz w:val="52"/>
          <w:szCs w:val="52"/>
        </w:rPr>
      </w:pPr>
      <w:bookmarkStart w:id="63" w:name="_GoBack"/>
      <w:r>
        <w:rPr>
          <w:rFonts w:hint="eastAsia" w:ascii="方正小标宋简体" w:hAnsi="方正小标宋简体" w:eastAsia="方正小标宋简体" w:cs="方正小标宋简体"/>
          <w:kern w:val="0"/>
          <w:sz w:val="52"/>
          <w:szCs w:val="52"/>
        </w:rPr>
        <w:t>工业领域碳达峰碳</w:t>
      </w:r>
      <w:r>
        <w:rPr>
          <w:rFonts w:ascii="方正小标宋简体" w:hAnsi="方正小标宋简体" w:eastAsia="方正小标宋简体" w:cs="方正小标宋简体"/>
          <w:kern w:val="0"/>
          <w:sz w:val="52"/>
          <w:szCs w:val="52"/>
        </w:rPr>
        <w:t>中和</w:t>
      </w:r>
      <w:r>
        <w:rPr>
          <w:rFonts w:hint="eastAsia" w:ascii="方正小标宋简体" w:hAnsi="方正小标宋简体" w:eastAsia="方正小标宋简体" w:cs="方正小标宋简体"/>
          <w:kern w:val="0"/>
          <w:sz w:val="52"/>
          <w:szCs w:val="52"/>
        </w:rPr>
        <w:t>标准体系</w:t>
      </w:r>
    </w:p>
    <w:p>
      <w:pPr>
        <w:spacing w:before="31" w:after="31" w:line="720" w:lineRule="auto"/>
        <w:ind w:firstLine="0" w:firstLineChars="0"/>
        <w:jc w:val="center"/>
        <w:rPr>
          <w:rFonts w:ascii="Times New Roman" w:hAnsi="Times New Roman"/>
          <w:kern w:val="0"/>
          <w:sz w:val="84"/>
          <w:szCs w:val="84"/>
        </w:rPr>
      </w:pPr>
      <w:r>
        <w:rPr>
          <w:rFonts w:hint="eastAsia" w:ascii="方正小标宋简体" w:hAnsi="方正小标宋简体" w:eastAsia="方正小标宋简体" w:cs="方正小标宋简体"/>
          <w:kern w:val="0"/>
          <w:sz w:val="52"/>
          <w:szCs w:val="52"/>
        </w:rPr>
        <w:t>建设指南（202</w:t>
      </w:r>
      <w:r>
        <w:rPr>
          <w:rFonts w:ascii="方正小标宋简体" w:hAnsi="方正小标宋简体" w:eastAsia="方正小标宋简体" w:cs="方正小标宋简体"/>
          <w:kern w:val="0"/>
          <w:sz w:val="52"/>
          <w:szCs w:val="52"/>
        </w:rPr>
        <w:t>3</w:t>
      </w:r>
      <w:r>
        <w:rPr>
          <w:rFonts w:hint="eastAsia" w:ascii="方正小标宋简体" w:hAnsi="方正小标宋简体" w:eastAsia="方正小标宋简体" w:cs="方正小标宋简体"/>
          <w:kern w:val="0"/>
          <w:sz w:val="52"/>
          <w:szCs w:val="52"/>
        </w:rPr>
        <w:t>版）</w:t>
      </w:r>
    </w:p>
    <w:bookmarkEnd w:id="63"/>
    <w:p>
      <w:pPr>
        <w:spacing w:before="31" w:after="31"/>
        <w:ind w:firstLine="0" w:firstLineChars="0"/>
        <w:jc w:val="center"/>
        <w:rPr>
          <w:rFonts w:hint="eastAsia" w:ascii="楷体_GB2312" w:hAnsi="楷体_GB2312" w:eastAsia="楷体_GB2312" w:cs="楷体_GB2312"/>
          <w:kern w:val="0"/>
          <w:sz w:val="44"/>
          <w:szCs w:val="44"/>
        </w:rPr>
      </w:pPr>
      <w:r>
        <w:rPr>
          <w:rFonts w:hint="eastAsia" w:ascii="楷体_GB2312" w:hAnsi="楷体_GB2312" w:eastAsia="楷体_GB2312" w:cs="楷体_GB2312"/>
          <w:kern w:val="0"/>
          <w:sz w:val="44"/>
          <w:szCs w:val="44"/>
        </w:rPr>
        <w:t>（征求意见稿）</w:t>
      </w:r>
    </w:p>
    <w:p>
      <w:pPr>
        <w:spacing w:before="31" w:after="31"/>
        <w:ind w:firstLine="0" w:firstLineChars="0"/>
        <w:jc w:val="center"/>
        <w:rPr>
          <w:rFonts w:ascii="Times New Roman" w:hAnsi="Times New Roman"/>
          <w:kern w:val="0"/>
          <w:sz w:val="84"/>
          <w:szCs w:val="84"/>
        </w:rPr>
      </w:pPr>
    </w:p>
    <w:p>
      <w:pPr>
        <w:spacing w:before="31" w:after="31"/>
        <w:ind w:firstLine="0" w:firstLineChars="0"/>
        <w:jc w:val="center"/>
        <w:rPr>
          <w:rFonts w:ascii="Times New Roman" w:hAnsi="Times New Roman"/>
          <w:kern w:val="0"/>
          <w:sz w:val="84"/>
          <w:szCs w:val="84"/>
        </w:rPr>
      </w:pPr>
    </w:p>
    <w:p>
      <w:pPr>
        <w:spacing w:before="31" w:after="31"/>
        <w:ind w:firstLine="0" w:firstLineChars="0"/>
        <w:jc w:val="center"/>
        <w:rPr>
          <w:rFonts w:ascii="Times New Roman" w:hAnsi="Times New Roman"/>
          <w:kern w:val="0"/>
          <w:sz w:val="84"/>
          <w:szCs w:val="84"/>
        </w:rPr>
      </w:pPr>
    </w:p>
    <w:p>
      <w:pPr>
        <w:spacing w:before="31" w:after="31"/>
        <w:ind w:firstLine="0" w:firstLineChars="0"/>
        <w:jc w:val="center"/>
        <w:rPr>
          <w:rFonts w:ascii="Times New Roman" w:hAnsi="Times New Roman"/>
          <w:kern w:val="0"/>
          <w:sz w:val="84"/>
          <w:szCs w:val="84"/>
        </w:rPr>
      </w:pPr>
    </w:p>
    <w:p>
      <w:pPr>
        <w:spacing w:before="31" w:after="31"/>
        <w:ind w:firstLine="0" w:firstLineChars="0"/>
        <w:jc w:val="center"/>
        <w:rPr>
          <w:rFonts w:ascii="Times New Roman" w:hAnsi="Times New Roman" w:eastAsia="黑体"/>
          <w:sz w:val="36"/>
        </w:rPr>
      </w:pPr>
      <w:r>
        <w:rPr>
          <w:rFonts w:ascii="Times New Roman" w:hAnsi="Times New Roman" w:eastAsia="黑体"/>
          <w:sz w:val="36"/>
        </w:rPr>
        <w:t>2023年05月</w:t>
      </w:r>
    </w:p>
    <w:p>
      <w:pPr>
        <w:spacing w:before="31" w:after="31"/>
        <w:ind w:firstLine="0" w:firstLineChars="0"/>
        <w:jc w:val="center"/>
        <w:rPr>
          <w:rFonts w:ascii="Times New Roman" w:hAnsi="Times New Roman" w:eastAsia="黑体"/>
          <w:sz w:val="36"/>
        </w:rPr>
      </w:pPr>
    </w:p>
    <w:p>
      <w:pPr>
        <w:spacing w:before="31" w:after="31"/>
        <w:ind w:firstLine="0" w:firstLineChars="0"/>
        <w:jc w:val="center"/>
        <w:rPr>
          <w:rFonts w:ascii="Times New Roman" w:hAnsi="Times New Roman" w:eastAsia="黑体"/>
          <w:sz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720" w:num="1"/>
          <w:docGrid w:type="lines" w:linePitch="312" w:charSpace="0"/>
        </w:sectPr>
      </w:pPr>
    </w:p>
    <w:p>
      <w:pPr>
        <w:pStyle w:val="2"/>
        <w:spacing w:line="560" w:lineRule="exact"/>
        <w:jc w:val="center"/>
        <w:rPr>
          <w:rFonts w:eastAsia="黑体"/>
          <w:b w:val="0"/>
        </w:rPr>
      </w:pPr>
      <w:bookmarkStart w:id="0" w:name="_Toc39420665"/>
      <w:bookmarkStart w:id="1" w:name="_Toc39420326"/>
      <w:bookmarkStart w:id="2" w:name="_Toc39420364"/>
      <w:bookmarkStart w:id="3" w:name="_Toc124149041"/>
      <w:bookmarkStart w:id="4" w:name="_Toc40194070"/>
      <w:bookmarkStart w:id="5" w:name="_Toc39418249"/>
      <w:bookmarkStart w:id="6" w:name="_Toc40456977"/>
      <w:bookmarkStart w:id="7" w:name="_Toc39751834"/>
      <w:bookmarkStart w:id="8" w:name="_Toc494107439"/>
      <w:bookmarkStart w:id="9" w:name="_Toc39839942"/>
      <w:bookmarkStart w:id="10" w:name="_Toc39616910"/>
      <w:bookmarkStart w:id="11" w:name="_Toc40705470"/>
      <w:bookmarkStart w:id="12" w:name="_Toc499284170"/>
      <w:bookmarkStart w:id="13" w:name="_Toc39839725"/>
      <w:bookmarkStart w:id="14" w:name="_Toc39418100"/>
      <w:r>
        <w:rPr>
          <w:rFonts w:eastAsia="黑体"/>
          <w:b w:val="0"/>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spacing w:before="31" w:after="31"/>
        <w:ind w:firstLine="420"/>
      </w:pPr>
    </w:p>
    <w:sdt>
      <w:sdtPr>
        <w:rPr>
          <w:rFonts w:ascii="Calibri" w:hAnsi="Calibri" w:eastAsiaTheme="minorEastAsia"/>
          <w:kern w:val="2"/>
          <w:sz w:val="32"/>
          <w:szCs w:val="32"/>
          <w:lang w:val="zh-CN"/>
        </w:rPr>
        <w:id w:val="1173763355"/>
      </w:sdtPr>
      <w:sdtEndPr>
        <w:rPr>
          <w:rFonts w:ascii="Calibri" w:hAnsi="Calibri" w:eastAsia="方正仿宋简体"/>
          <w:b/>
          <w:bCs/>
          <w:kern w:val="2"/>
          <w:sz w:val="32"/>
          <w:szCs w:val="32"/>
          <w:lang w:val="zh-CN"/>
        </w:rPr>
      </w:sdtEndPr>
      <w:sdtContent>
        <w:p>
          <w:pPr>
            <w:pStyle w:val="14"/>
            <w:tabs>
              <w:tab w:val="right" w:leader="dot" w:pos="8302"/>
            </w:tabs>
            <w:spacing w:line="540" w:lineRule="exact"/>
            <w:rPr>
              <w:rFonts w:eastAsiaTheme="minorEastAsia"/>
              <w:kern w:val="2"/>
              <w:sz w:val="32"/>
              <w:szCs w:val="32"/>
            </w:rPr>
          </w:pPr>
          <w:r>
            <w:rPr>
              <w:rFonts w:eastAsia="方正仿宋简体"/>
              <w:b/>
              <w:bCs/>
              <w:sz w:val="32"/>
              <w:szCs w:val="32"/>
              <w:lang w:val="zh-CN"/>
            </w:rPr>
            <w:fldChar w:fldCharType="begin"/>
          </w:r>
          <w:r>
            <w:rPr>
              <w:rFonts w:eastAsia="方正仿宋简体"/>
              <w:b/>
              <w:bCs/>
              <w:sz w:val="32"/>
              <w:szCs w:val="32"/>
              <w:lang w:val="zh-CN"/>
            </w:rPr>
            <w:instrText xml:space="preserve"> TOC \o "1-3" \h \z \u </w:instrText>
          </w:r>
          <w:r>
            <w:rPr>
              <w:rFonts w:eastAsia="方正仿宋简体"/>
              <w:b/>
              <w:bCs/>
              <w:sz w:val="32"/>
              <w:szCs w:val="32"/>
              <w:lang w:val="zh-CN"/>
            </w:rPr>
            <w:fldChar w:fldCharType="separate"/>
          </w:r>
          <w:r>
            <w:fldChar w:fldCharType="begin"/>
          </w:r>
          <w:r>
            <w:instrText xml:space="preserve"> HYPERLINK \l "_Toc124149041" </w:instrText>
          </w:r>
          <w:r>
            <w:fldChar w:fldCharType="separate"/>
          </w:r>
          <w:r>
            <w:rPr>
              <w:rStyle w:val="23"/>
              <w:rFonts w:eastAsia="黑体"/>
              <w:sz w:val="32"/>
              <w:szCs w:val="32"/>
            </w:rPr>
            <w:t>目 录</w:t>
          </w:r>
          <w:r>
            <w:rPr>
              <w:sz w:val="32"/>
              <w:szCs w:val="32"/>
            </w:rPr>
            <w:tab/>
          </w:r>
          <w:r>
            <w:rPr>
              <w:sz w:val="32"/>
              <w:szCs w:val="32"/>
            </w:rPr>
            <w:fldChar w:fldCharType="begin"/>
          </w:r>
          <w:r>
            <w:rPr>
              <w:sz w:val="32"/>
              <w:szCs w:val="32"/>
            </w:rPr>
            <w:instrText xml:space="preserve"> PAGEREF _Toc124149041 \h </w:instrText>
          </w:r>
          <w:r>
            <w:rPr>
              <w:sz w:val="32"/>
              <w:szCs w:val="32"/>
            </w:rPr>
            <w:fldChar w:fldCharType="separate"/>
          </w:r>
          <w:r>
            <w:rPr>
              <w:sz w:val="32"/>
              <w:szCs w:val="32"/>
            </w:rPr>
            <w:t>I</w:t>
          </w:r>
          <w:r>
            <w:rPr>
              <w:sz w:val="32"/>
              <w:szCs w:val="32"/>
            </w:rPr>
            <w:fldChar w:fldCharType="end"/>
          </w:r>
          <w:r>
            <w:rPr>
              <w:sz w:val="32"/>
              <w:szCs w:val="32"/>
            </w:rPr>
            <w:fldChar w:fldCharType="end"/>
          </w:r>
        </w:p>
        <w:p>
          <w:pPr>
            <w:pStyle w:val="14"/>
            <w:tabs>
              <w:tab w:val="right" w:leader="dot" w:pos="8302"/>
            </w:tabs>
            <w:spacing w:line="540" w:lineRule="exact"/>
            <w:rPr>
              <w:rFonts w:eastAsiaTheme="minorEastAsia"/>
              <w:kern w:val="2"/>
              <w:sz w:val="32"/>
              <w:szCs w:val="32"/>
            </w:rPr>
          </w:pPr>
          <w:r>
            <w:fldChar w:fldCharType="begin"/>
          </w:r>
          <w:r>
            <w:instrText xml:space="preserve"> HYPERLINK \l "_Toc124149042" </w:instrText>
          </w:r>
          <w:r>
            <w:fldChar w:fldCharType="separate"/>
          </w:r>
          <w:r>
            <w:rPr>
              <w:rStyle w:val="23"/>
              <w:rFonts w:eastAsia="黑体"/>
              <w:sz w:val="32"/>
              <w:szCs w:val="32"/>
            </w:rPr>
            <w:t>前 言</w:t>
          </w:r>
          <w:r>
            <w:rPr>
              <w:sz w:val="32"/>
              <w:szCs w:val="32"/>
            </w:rPr>
            <w:tab/>
          </w:r>
          <w:r>
            <w:rPr>
              <w:sz w:val="32"/>
              <w:szCs w:val="32"/>
            </w:rPr>
            <w:fldChar w:fldCharType="begin"/>
          </w:r>
          <w:r>
            <w:rPr>
              <w:sz w:val="32"/>
              <w:szCs w:val="32"/>
            </w:rPr>
            <w:instrText xml:space="preserve"> PAGEREF _Toc124149042 \h </w:instrText>
          </w:r>
          <w:r>
            <w:rPr>
              <w:sz w:val="32"/>
              <w:szCs w:val="32"/>
            </w:rPr>
            <w:fldChar w:fldCharType="separate"/>
          </w:r>
          <w:r>
            <w:rPr>
              <w:sz w:val="32"/>
              <w:szCs w:val="32"/>
            </w:rPr>
            <w:t>II</w:t>
          </w:r>
          <w:r>
            <w:rPr>
              <w:sz w:val="32"/>
              <w:szCs w:val="32"/>
            </w:rPr>
            <w:fldChar w:fldCharType="end"/>
          </w:r>
          <w:r>
            <w:rPr>
              <w:sz w:val="32"/>
              <w:szCs w:val="32"/>
            </w:rPr>
            <w:fldChar w:fldCharType="end"/>
          </w:r>
        </w:p>
        <w:p>
          <w:pPr>
            <w:pStyle w:val="14"/>
            <w:tabs>
              <w:tab w:val="right" w:leader="dot" w:pos="8302"/>
            </w:tabs>
            <w:spacing w:line="540" w:lineRule="exact"/>
            <w:rPr>
              <w:rFonts w:eastAsiaTheme="minorEastAsia"/>
              <w:kern w:val="2"/>
              <w:sz w:val="32"/>
              <w:szCs w:val="32"/>
            </w:rPr>
          </w:pPr>
          <w:r>
            <w:fldChar w:fldCharType="begin"/>
          </w:r>
          <w:r>
            <w:instrText xml:space="preserve"> HYPERLINK \l "_Toc124149043" </w:instrText>
          </w:r>
          <w:r>
            <w:fldChar w:fldCharType="separate"/>
          </w:r>
          <w:r>
            <w:rPr>
              <w:rStyle w:val="23"/>
              <w:rFonts w:eastAsia="黑体"/>
              <w:sz w:val="32"/>
              <w:szCs w:val="32"/>
              <w:lang w:eastAsia="zh-Hans"/>
            </w:rPr>
            <w:t>一、</w:t>
          </w:r>
          <w:r>
            <w:rPr>
              <w:rStyle w:val="23"/>
              <w:rFonts w:eastAsia="黑体"/>
              <w:sz w:val="32"/>
              <w:szCs w:val="32"/>
            </w:rPr>
            <w:t>总体要求</w:t>
          </w:r>
          <w:r>
            <w:rPr>
              <w:sz w:val="32"/>
              <w:szCs w:val="32"/>
            </w:rPr>
            <w:tab/>
          </w:r>
          <w:r>
            <w:rPr>
              <w:sz w:val="32"/>
              <w:szCs w:val="32"/>
            </w:rPr>
            <w:fldChar w:fldCharType="begin"/>
          </w:r>
          <w:r>
            <w:rPr>
              <w:sz w:val="32"/>
              <w:szCs w:val="32"/>
            </w:rPr>
            <w:instrText xml:space="preserve"> PAGEREF _Toc124149043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4"/>
            <w:tabs>
              <w:tab w:val="right" w:leader="dot" w:pos="8302"/>
            </w:tabs>
            <w:spacing w:line="540" w:lineRule="exact"/>
            <w:rPr>
              <w:rFonts w:eastAsiaTheme="minorEastAsia"/>
              <w:kern w:val="2"/>
              <w:sz w:val="30"/>
              <w:szCs w:val="30"/>
            </w:rPr>
          </w:pPr>
          <w:r>
            <w:fldChar w:fldCharType="begin"/>
          </w:r>
          <w:r>
            <w:instrText xml:space="preserve"> HYPERLINK \l "_Toc124149044" </w:instrText>
          </w:r>
          <w:r>
            <w:fldChar w:fldCharType="separate"/>
          </w:r>
          <w:r>
            <w:rPr>
              <w:rStyle w:val="23"/>
              <w:rFonts w:eastAsia="楷体_GB2312"/>
              <w:sz w:val="30"/>
              <w:szCs w:val="30"/>
            </w:rPr>
            <w:t>（一）</w:t>
          </w:r>
          <w:r>
            <w:rPr>
              <w:rStyle w:val="23"/>
              <w:rFonts w:eastAsia="楷体_GB2312"/>
              <w:sz w:val="30"/>
              <w:szCs w:val="30"/>
              <w:lang w:eastAsia="zh-Hans"/>
            </w:rPr>
            <w:t>指导思想</w:t>
          </w:r>
          <w:r>
            <w:rPr>
              <w:sz w:val="30"/>
              <w:szCs w:val="30"/>
            </w:rPr>
            <w:tab/>
          </w:r>
          <w:r>
            <w:rPr>
              <w:sz w:val="32"/>
              <w:szCs w:val="32"/>
            </w:rPr>
            <w:fldChar w:fldCharType="begin"/>
          </w:r>
          <w:r>
            <w:rPr>
              <w:sz w:val="32"/>
              <w:szCs w:val="32"/>
            </w:rPr>
            <w:instrText xml:space="preserve"> PAGEREF _Toc124149044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4"/>
            <w:tabs>
              <w:tab w:val="right" w:leader="dot" w:pos="8302"/>
            </w:tabs>
            <w:spacing w:line="540" w:lineRule="exact"/>
            <w:rPr>
              <w:rFonts w:eastAsiaTheme="minorEastAsia"/>
              <w:kern w:val="2"/>
              <w:sz w:val="30"/>
              <w:szCs w:val="30"/>
            </w:rPr>
          </w:pPr>
          <w:r>
            <w:fldChar w:fldCharType="begin"/>
          </w:r>
          <w:r>
            <w:instrText xml:space="preserve"> HYPERLINK \l "_Toc124149045" </w:instrText>
          </w:r>
          <w:r>
            <w:fldChar w:fldCharType="separate"/>
          </w:r>
          <w:r>
            <w:rPr>
              <w:rStyle w:val="23"/>
              <w:rFonts w:eastAsia="楷体_GB2312"/>
              <w:sz w:val="30"/>
              <w:szCs w:val="30"/>
            </w:rPr>
            <w:t>（二）基本原则</w:t>
          </w:r>
          <w:r>
            <w:rPr>
              <w:sz w:val="30"/>
              <w:szCs w:val="30"/>
            </w:rPr>
            <w:tab/>
          </w:r>
          <w:r>
            <w:rPr>
              <w:sz w:val="32"/>
              <w:szCs w:val="32"/>
            </w:rPr>
            <w:fldChar w:fldCharType="begin"/>
          </w:r>
          <w:r>
            <w:rPr>
              <w:sz w:val="32"/>
              <w:szCs w:val="32"/>
            </w:rPr>
            <w:instrText xml:space="preserve"> PAGEREF _Toc124149045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4"/>
            <w:tabs>
              <w:tab w:val="right" w:leader="dot" w:pos="8302"/>
            </w:tabs>
            <w:spacing w:line="540" w:lineRule="exact"/>
            <w:rPr>
              <w:rFonts w:eastAsiaTheme="minorEastAsia"/>
              <w:kern w:val="2"/>
              <w:sz w:val="30"/>
              <w:szCs w:val="30"/>
            </w:rPr>
          </w:pPr>
          <w:r>
            <w:fldChar w:fldCharType="begin"/>
          </w:r>
          <w:r>
            <w:instrText xml:space="preserve"> HYPERLINK \l "_Toc124149046" </w:instrText>
          </w:r>
          <w:r>
            <w:fldChar w:fldCharType="separate"/>
          </w:r>
          <w:r>
            <w:rPr>
              <w:rStyle w:val="23"/>
              <w:rFonts w:eastAsia="楷体_GB2312"/>
              <w:sz w:val="30"/>
              <w:szCs w:val="30"/>
            </w:rPr>
            <w:t>（三）建设目标</w:t>
          </w:r>
          <w:r>
            <w:rPr>
              <w:sz w:val="30"/>
              <w:szCs w:val="30"/>
            </w:rPr>
            <w:tab/>
          </w:r>
          <w:r>
            <w:rPr>
              <w:sz w:val="32"/>
              <w:szCs w:val="32"/>
            </w:rPr>
            <w:fldChar w:fldCharType="begin"/>
          </w:r>
          <w:r>
            <w:rPr>
              <w:sz w:val="32"/>
              <w:szCs w:val="32"/>
            </w:rPr>
            <w:instrText xml:space="preserve"> PAGEREF _Toc124149046 \h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14"/>
            <w:tabs>
              <w:tab w:val="right" w:leader="dot" w:pos="8302"/>
            </w:tabs>
            <w:spacing w:line="540" w:lineRule="exact"/>
            <w:rPr>
              <w:rFonts w:eastAsiaTheme="minorEastAsia"/>
              <w:kern w:val="2"/>
              <w:sz w:val="32"/>
              <w:szCs w:val="32"/>
            </w:rPr>
          </w:pPr>
          <w:r>
            <w:fldChar w:fldCharType="begin"/>
          </w:r>
          <w:r>
            <w:instrText xml:space="preserve"> HYPERLINK \l "_Toc124149047" </w:instrText>
          </w:r>
          <w:r>
            <w:fldChar w:fldCharType="separate"/>
          </w:r>
          <w:r>
            <w:rPr>
              <w:rStyle w:val="23"/>
              <w:rFonts w:eastAsia="黑体"/>
              <w:sz w:val="32"/>
              <w:szCs w:val="32"/>
            </w:rPr>
            <w:t>二、建设方案</w:t>
          </w:r>
          <w:r>
            <w:rPr>
              <w:sz w:val="32"/>
              <w:szCs w:val="32"/>
            </w:rPr>
            <w:tab/>
          </w:r>
          <w:r>
            <w:rPr>
              <w:sz w:val="32"/>
              <w:szCs w:val="32"/>
            </w:rPr>
            <w:fldChar w:fldCharType="begin"/>
          </w:r>
          <w:r>
            <w:rPr>
              <w:sz w:val="32"/>
              <w:szCs w:val="32"/>
            </w:rPr>
            <w:instrText xml:space="preserve"> PAGEREF _Toc124149047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4"/>
            <w:tabs>
              <w:tab w:val="right" w:leader="dot" w:pos="8302"/>
            </w:tabs>
            <w:spacing w:line="540" w:lineRule="exact"/>
            <w:rPr>
              <w:rFonts w:eastAsiaTheme="minorEastAsia"/>
              <w:kern w:val="2"/>
              <w:sz w:val="30"/>
              <w:szCs w:val="30"/>
            </w:rPr>
          </w:pPr>
          <w:r>
            <w:fldChar w:fldCharType="begin"/>
          </w:r>
          <w:r>
            <w:instrText xml:space="preserve"> HYPERLINK \l "_Toc124149048" </w:instrText>
          </w:r>
          <w:r>
            <w:fldChar w:fldCharType="separate"/>
          </w:r>
          <w:r>
            <w:rPr>
              <w:rStyle w:val="23"/>
              <w:rFonts w:eastAsia="楷体_GB2312"/>
              <w:sz w:val="30"/>
              <w:szCs w:val="30"/>
            </w:rPr>
            <w:t>（一）碳达峰碳中和标准体系框架</w:t>
          </w:r>
          <w:r>
            <w:rPr>
              <w:sz w:val="30"/>
              <w:szCs w:val="30"/>
            </w:rPr>
            <w:tab/>
          </w:r>
          <w:r>
            <w:rPr>
              <w:sz w:val="32"/>
              <w:szCs w:val="32"/>
            </w:rPr>
            <w:fldChar w:fldCharType="begin"/>
          </w:r>
          <w:r>
            <w:rPr>
              <w:sz w:val="32"/>
              <w:szCs w:val="32"/>
            </w:rPr>
            <w:instrText xml:space="preserve"> PAGEREF _Toc124149048 \h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14"/>
            <w:tabs>
              <w:tab w:val="right" w:leader="dot" w:pos="8302"/>
            </w:tabs>
            <w:spacing w:line="540" w:lineRule="exact"/>
            <w:rPr>
              <w:rFonts w:eastAsiaTheme="minorEastAsia"/>
              <w:kern w:val="2"/>
              <w:sz w:val="30"/>
              <w:szCs w:val="30"/>
            </w:rPr>
          </w:pPr>
          <w:r>
            <w:fldChar w:fldCharType="begin"/>
          </w:r>
          <w:r>
            <w:instrText xml:space="preserve"> HYPERLINK \l "_Toc124149049" </w:instrText>
          </w:r>
          <w:r>
            <w:fldChar w:fldCharType="separate"/>
          </w:r>
          <w:r>
            <w:rPr>
              <w:rStyle w:val="23"/>
              <w:rFonts w:eastAsia="楷体_GB2312"/>
              <w:sz w:val="30"/>
              <w:szCs w:val="30"/>
            </w:rPr>
            <w:t>（二）碳达峰碳中和标准制定重点领域</w:t>
          </w:r>
          <w:r>
            <w:rPr>
              <w:sz w:val="30"/>
              <w:szCs w:val="30"/>
            </w:rPr>
            <w:tab/>
          </w:r>
          <w:r>
            <w:rPr>
              <w:sz w:val="32"/>
              <w:szCs w:val="32"/>
            </w:rPr>
            <w:fldChar w:fldCharType="begin"/>
          </w:r>
          <w:r>
            <w:rPr>
              <w:sz w:val="32"/>
              <w:szCs w:val="32"/>
            </w:rPr>
            <w:instrText xml:space="preserve"> PAGEREF _Toc124149049 \h </w:instrText>
          </w:r>
          <w:r>
            <w:rPr>
              <w:sz w:val="32"/>
              <w:szCs w:val="32"/>
            </w:rPr>
            <w:fldChar w:fldCharType="separate"/>
          </w:r>
          <w:r>
            <w:rPr>
              <w:sz w:val="32"/>
              <w:szCs w:val="32"/>
            </w:rPr>
            <w:t>5</w:t>
          </w:r>
          <w:r>
            <w:rPr>
              <w:sz w:val="32"/>
              <w:szCs w:val="32"/>
            </w:rPr>
            <w:fldChar w:fldCharType="end"/>
          </w:r>
          <w:r>
            <w:rPr>
              <w:sz w:val="32"/>
              <w:szCs w:val="32"/>
            </w:rPr>
            <w:fldChar w:fldCharType="end"/>
          </w:r>
        </w:p>
        <w:p>
          <w:pPr>
            <w:pStyle w:val="15"/>
            <w:tabs>
              <w:tab w:val="right" w:leader="dot" w:pos="8302"/>
            </w:tabs>
            <w:spacing w:line="540" w:lineRule="exact"/>
            <w:ind w:left="221" w:firstLine="440" w:firstLineChars="200"/>
            <w:rPr>
              <w:rFonts w:ascii="Times New Roman" w:hAnsi="Times New Roman" w:cs="Times New Roman"/>
              <w:kern w:val="2"/>
              <w:sz w:val="28"/>
              <w:szCs w:val="28"/>
            </w:rPr>
          </w:pPr>
          <w:r>
            <w:fldChar w:fldCharType="begin"/>
          </w:r>
          <w:r>
            <w:instrText xml:space="preserve"> HYPERLINK \l "_Toc124149050" </w:instrText>
          </w:r>
          <w:r>
            <w:fldChar w:fldCharType="separate"/>
          </w:r>
          <w:r>
            <w:rPr>
              <w:rStyle w:val="23"/>
              <w:rFonts w:ascii="Times New Roman" w:hAnsi="Times New Roman" w:eastAsia="仿宋" w:cs="Times New Roman"/>
              <w:sz w:val="28"/>
              <w:szCs w:val="28"/>
            </w:rPr>
            <w:t>1.基础通用标准</w:t>
          </w:r>
          <w:r>
            <w:rPr>
              <w:rFonts w:ascii="Times New Roman" w:hAnsi="Times New Roman" w:cs="Times New Roman"/>
              <w:sz w:val="28"/>
              <w:szCs w:val="28"/>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_Toc124149050 \h </w:instrText>
          </w:r>
          <w:r>
            <w:rPr>
              <w:rFonts w:ascii="Times New Roman" w:hAnsi="Times New Roman" w:cs="Times New Roman"/>
              <w:sz w:val="32"/>
              <w:szCs w:val="32"/>
            </w:rPr>
            <w:fldChar w:fldCharType="separate"/>
          </w:r>
          <w:r>
            <w:rPr>
              <w:rFonts w:ascii="Times New Roman" w:hAnsi="Times New Roman" w:cs="Times New Roman"/>
              <w:sz w:val="32"/>
              <w:szCs w:val="32"/>
            </w:rPr>
            <w:t>5</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302"/>
            </w:tabs>
            <w:spacing w:line="540" w:lineRule="exact"/>
            <w:ind w:left="221" w:firstLine="440" w:firstLineChars="200"/>
            <w:rPr>
              <w:rFonts w:ascii="Times New Roman" w:hAnsi="Times New Roman" w:cs="Times New Roman"/>
              <w:kern w:val="2"/>
              <w:sz w:val="28"/>
              <w:szCs w:val="28"/>
            </w:rPr>
          </w:pPr>
          <w:r>
            <w:fldChar w:fldCharType="begin"/>
          </w:r>
          <w:r>
            <w:instrText xml:space="preserve"> HYPERLINK \l "_Toc124149051" </w:instrText>
          </w:r>
          <w:r>
            <w:fldChar w:fldCharType="separate"/>
          </w:r>
          <w:r>
            <w:rPr>
              <w:rStyle w:val="23"/>
              <w:rFonts w:ascii="Times New Roman" w:hAnsi="Times New Roman" w:eastAsia="仿宋" w:cs="Times New Roman"/>
              <w:sz w:val="28"/>
              <w:szCs w:val="28"/>
            </w:rPr>
            <w:t>2.核算</w:t>
          </w:r>
          <w:r>
            <w:rPr>
              <w:rStyle w:val="23"/>
              <w:rFonts w:hint="eastAsia" w:ascii="Times New Roman" w:hAnsi="Times New Roman" w:eastAsia="仿宋" w:cs="Times New Roman"/>
              <w:sz w:val="28"/>
              <w:szCs w:val="28"/>
            </w:rPr>
            <w:t>与</w:t>
          </w:r>
          <w:r>
            <w:rPr>
              <w:rStyle w:val="23"/>
              <w:rFonts w:ascii="Times New Roman" w:hAnsi="Times New Roman" w:eastAsia="仿宋" w:cs="Times New Roman"/>
              <w:sz w:val="28"/>
              <w:szCs w:val="28"/>
            </w:rPr>
            <w:t>核查标准</w:t>
          </w:r>
          <w:r>
            <w:rPr>
              <w:rFonts w:ascii="Times New Roman" w:hAnsi="Times New Roman" w:cs="Times New Roman"/>
              <w:sz w:val="28"/>
              <w:szCs w:val="28"/>
            </w:rPr>
            <w:tab/>
          </w:r>
          <w:r>
            <w:rPr>
              <w:rFonts w:ascii="Times New Roman" w:hAnsi="Times New Roman" w:eastAsia="宋体" w:cs="Times New Roman"/>
              <w:sz w:val="32"/>
              <w:szCs w:val="32"/>
            </w:rPr>
            <w:fldChar w:fldCharType="begin"/>
          </w:r>
          <w:r>
            <w:rPr>
              <w:rFonts w:ascii="Times New Roman" w:hAnsi="Times New Roman" w:eastAsia="宋体" w:cs="Times New Roman"/>
              <w:sz w:val="32"/>
              <w:szCs w:val="32"/>
            </w:rPr>
            <w:instrText xml:space="preserve"> PAGEREF _Toc124149051 \h </w:instrText>
          </w:r>
          <w:r>
            <w:rPr>
              <w:rFonts w:ascii="Times New Roman" w:hAnsi="Times New Roman" w:eastAsia="宋体" w:cs="Times New Roman"/>
              <w:sz w:val="32"/>
              <w:szCs w:val="32"/>
            </w:rPr>
            <w:fldChar w:fldCharType="separate"/>
          </w:r>
          <w:r>
            <w:rPr>
              <w:rFonts w:ascii="Times New Roman" w:hAnsi="Times New Roman" w:eastAsia="宋体" w:cs="Times New Roman"/>
              <w:sz w:val="32"/>
              <w:szCs w:val="32"/>
            </w:rPr>
            <w:t>6</w:t>
          </w:r>
          <w:r>
            <w:rPr>
              <w:rFonts w:ascii="Times New Roman" w:hAnsi="Times New Roman" w:eastAsia="宋体" w:cs="Times New Roman"/>
              <w:sz w:val="32"/>
              <w:szCs w:val="32"/>
            </w:rPr>
            <w:fldChar w:fldCharType="end"/>
          </w:r>
          <w:r>
            <w:rPr>
              <w:rFonts w:ascii="Times New Roman" w:hAnsi="Times New Roman" w:eastAsia="宋体" w:cs="Times New Roman"/>
              <w:sz w:val="32"/>
              <w:szCs w:val="32"/>
            </w:rPr>
            <w:fldChar w:fldCharType="end"/>
          </w:r>
        </w:p>
        <w:p>
          <w:pPr>
            <w:pStyle w:val="15"/>
            <w:tabs>
              <w:tab w:val="right" w:leader="dot" w:pos="8302"/>
            </w:tabs>
            <w:spacing w:line="540" w:lineRule="exact"/>
            <w:ind w:left="221" w:firstLine="440" w:firstLineChars="200"/>
            <w:rPr>
              <w:rFonts w:ascii="Times New Roman" w:hAnsi="Times New Roman" w:cs="Times New Roman"/>
              <w:kern w:val="2"/>
              <w:sz w:val="28"/>
              <w:szCs w:val="28"/>
            </w:rPr>
          </w:pPr>
          <w:r>
            <w:fldChar w:fldCharType="begin"/>
          </w:r>
          <w:r>
            <w:instrText xml:space="preserve"> HYPERLINK \l "_Toc124149052" </w:instrText>
          </w:r>
          <w:r>
            <w:fldChar w:fldCharType="separate"/>
          </w:r>
          <w:r>
            <w:rPr>
              <w:rStyle w:val="23"/>
              <w:rFonts w:ascii="Times New Roman" w:hAnsi="Times New Roman" w:eastAsia="仿宋" w:cs="Times New Roman"/>
              <w:sz w:val="28"/>
              <w:szCs w:val="28"/>
            </w:rPr>
            <w:t>3.技术与装备标准</w:t>
          </w:r>
          <w:r>
            <w:rPr>
              <w:rFonts w:ascii="Times New Roman" w:hAnsi="Times New Roman" w:cs="Times New Roman"/>
              <w:sz w:val="28"/>
              <w:szCs w:val="28"/>
            </w:rPr>
            <w:tab/>
          </w:r>
          <w:r>
            <w:rPr>
              <w:rFonts w:ascii="Times New Roman" w:hAnsi="Times New Roman" w:eastAsia="宋体" w:cs="Times New Roman"/>
              <w:sz w:val="32"/>
              <w:szCs w:val="32"/>
            </w:rPr>
            <w:fldChar w:fldCharType="begin"/>
          </w:r>
          <w:r>
            <w:rPr>
              <w:rFonts w:ascii="Times New Roman" w:hAnsi="Times New Roman" w:eastAsia="宋体" w:cs="Times New Roman"/>
              <w:sz w:val="32"/>
              <w:szCs w:val="32"/>
            </w:rPr>
            <w:instrText xml:space="preserve"> PAGEREF _Toc124149052 \h </w:instrText>
          </w:r>
          <w:r>
            <w:rPr>
              <w:rFonts w:ascii="Times New Roman" w:hAnsi="Times New Roman" w:eastAsia="宋体" w:cs="Times New Roman"/>
              <w:sz w:val="32"/>
              <w:szCs w:val="32"/>
            </w:rPr>
            <w:fldChar w:fldCharType="separate"/>
          </w:r>
          <w:r>
            <w:rPr>
              <w:rFonts w:ascii="Times New Roman" w:hAnsi="Times New Roman" w:eastAsia="宋体" w:cs="Times New Roman"/>
              <w:sz w:val="32"/>
              <w:szCs w:val="32"/>
            </w:rPr>
            <w:t>8</w:t>
          </w:r>
          <w:r>
            <w:rPr>
              <w:rFonts w:ascii="Times New Roman" w:hAnsi="Times New Roman" w:eastAsia="宋体" w:cs="Times New Roman"/>
              <w:sz w:val="32"/>
              <w:szCs w:val="32"/>
            </w:rPr>
            <w:fldChar w:fldCharType="end"/>
          </w:r>
          <w:r>
            <w:rPr>
              <w:rFonts w:ascii="Times New Roman" w:hAnsi="Times New Roman" w:eastAsia="宋体" w:cs="Times New Roman"/>
              <w:sz w:val="32"/>
              <w:szCs w:val="32"/>
            </w:rPr>
            <w:fldChar w:fldCharType="end"/>
          </w:r>
        </w:p>
        <w:p>
          <w:pPr>
            <w:pStyle w:val="15"/>
            <w:tabs>
              <w:tab w:val="right" w:leader="dot" w:pos="8302"/>
            </w:tabs>
            <w:spacing w:line="540" w:lineRule="exact"/>
            <w:ind w:left="221" w:firstLine="440" w:firstLineChars="200"/>
            <w:rPr>
              <w:rFonts w:ascii="Times New Roman" w:hAnsi="Times New Roman" w:cs="Times New Roman"/>
              <w:kern w:val="2"/>
              <w:sz w:val="28"/>
              <w:szCs w:val="28"/>
            </w:rPr>
          </w:pPr>
          <w:r>
            <w:fldChar w:fldCharType="begin"/>
          </w:r>
          <w:r>
            <w:instrText xml:space="preserve"> HYPERLINK \l "_Toc124149053" </w:instrText>
          </w:r>
          <w:r>
            <w:fldChar w:fldCharType="separate"/>
          </w:r>
          <w:r>
            <w:rPr>
              <w:rStyle w:val="23"/>
              <w:rFonts w:ascii="Times New Roman" w:hAnsi="Times New Roman" w:eastAsia="仿宋" w:cs="Times New Roman"/>
              <w:sz w:val="28"/>
              <w:szCs w:val="28"/>
            </w:rPr>
            <w:t>4.监测标准</w:t>
          </w:r>
          <w:r>
            <w:rPr>
              <w:rFonts w:ascii="Times New Roman" w:hAnsi="Times New Roman" w:cs="Times New Roman"/>
              <w:sz w:val="28"/>
              <w:szCs w:val="28"/>
            </w:rPr>
            <w:tab/>
          </w:r>
          <w:r>
            <w:rPr>
              <w:rFonts w:ascii="Times New Roman" w:hAnsi="Times New Roman" w:eastAsia="宋体" w:cs="Times New Roman"/>
              <w:sz w:val="32"/>
              <w:szCs w:val="32"/>
            </w:rPr>
            <w:fldChar w:fldCharType="begin"/>
          </w:r>
          <w:r>
            <w:rPr>
              <w:rFonts w:ascii="Times New Roman" w:hAnsi="Times New Roman" w:eastAsia="宋体" w:cs="Times New Roman"/>
              <w:sz w:val="32"/>
              <w:szCs w:val="32"/>
            </w:rPr>
            <w:instrText xml:space="preserve"> PAGEREF _Toc124149053 \h </w:instrText>
          </w:r>
          <w:r>
            <w:rPr>
              <w:rFonts w:ascii="Times New Roman" w:hAnsi="Times New Roman" w:eastAsia="宋体" w:cs="Times New Roman"/>
              <w:sz w:val="32"/>
              <w:szCs w:val="32"/>
            </w:rPr>
            <w:fldChar w:fldCharType="separate"/>
          </w:r>
          <w:r>
            <w:rPr>
              <w:rFonts w:ascii="Times New Roman" w:hAnsi="Times New Roman" w:eastAsia="宋体" w:cs="Times New Roman"/>
              <w:sz w:val="32"/>
              <w:szCs w:val="32"/>
            </w:rPr>
            <w:t>12</w:t>
          </w:r>
          <w:r>
            <w:rPr>
              <w:rFonts w:ascii="Times New Roman" w:hAnsi="Times New Roman" w:eastAsia="宋体" w:cs="Times New Roman"/>
              <w:sz w:val="32"/>
              <w:szCs w:val="32"/>
            </w:rPr>
            <w:fldChar w:fldCharType="end"/>
          </w:r>
          <w:r>
            <w:rPr>
              <w:rFonts w:ascii="Times New Roman" w:hAnsi="Times New Roman" w:eastAsia="宋体" w:cs="Times New Roman"/>
              <w:sz w:val="32"/>
              <w:szCs w:val="32"/>
            </w:rPr>
            <w:fldChar w:fldCharType="end"/>
          </w:r>
        </w:p>
        <w:p>
          <w:pPr>
            <w:pStyle w:val="15"/>
            <w:tabs>
              <w:tab w:val="right" w:leader="dot" w:pos="8302"/>
            </w:tabs>
            <w:spacing w:line="540" w:lineRule="exact"/>
            <w:ind w:left="221" w:firstLine="440" w:firstLineChars="200"/>
            <w:rPr>
              <w:rFonts w:ascii="Times New Roman" w:hAnsi="Times New Roman" w:cs="Times New Roman"/>
              <w:kern w:val="2"/>
              <w:sz w:val="28"/>
              <w:szCs w:val="28"/>
            </w:rPr>
          </w:pPr>
          <w:r>
            <w:fldChar w:fldCharType="begin"/>
          </w:r>
          <w:r>
            <w:instrText xml:space="preserve"> HYPERLINK \l "_Toc124149054" </w:instrText>
          </w:r>
          <w:r>
            <w:fldChar w:fldCharType="separate"/>
          </w:r>
          <w:r>
            <w:rPr>
              <w:rStyle w:val="23"/>
              <w:rFonts w:ascii="Times New Roman" w:hAnsi="Times New Roman" w:eastAsia="仿宋" w:cs="Times New Roman"/>
              <w:sz w:val="28"/>
              <w:szCs w:val="28"/>
            </w:rPr>
            <w:t>5.管理与评价标准</w:t>
          </w:r>
          <w:r>
            <w:rPr>
              <w:rFonts w:ascii="Times New Roman" w:hAnsi="Times New Roman" w:cs="Times New Roman"/>
              <w:sz w:val="28"/>
              <w:szCs w:val="28"/>
            </w:rPr>
            <w:tab/>
          </w:r>
          <w:r>
            <w:rPr>
              <w:rFonts w:ascii="Times New Roman" w:hAnsi="Times New Roman" w:eastAsia="宋体" w:cs="Times New Roman"/>
              <w:sz w:val="32"/>
              <w:szCs w:val="32"/>
            </w:rPr>
            <w:fldChar w:fldCharType="begin"/>
          </w:r>
          <w:r>
            <w:rPr>
              <w:rFonts w:ascii="Times New Roman" w:hAnsi="Times New Roman" w:eastAsia="宋体" w:cs="Times New Roman"/>
              <w:sz w:val="32"/>
              <w:szCs w:val="32"/>
            </w:rPr>
            <w:instrText xml:space="preserve"> PAGEREF _Toc124149054 \h </w:instrText>
          </w:r>
          <w:r>
            <w:rPr>
              <w:rFonts w:ascii="Times New Roman" w:hAnsi="Times New Roman" w:eastAsia="宋体" w:cs="Times New Roman"/>
              <w:sz w:val="32"/>
              <w:szCs w:val="32"/>
            </w:rPr>
            <w:fldChar w:fldCharType="separate"/>
          </w:r>
          <w:r>
            <w:rPr>
              <w:rFonts w:ascii="Times New Roman" w:hAnsi="Times New Roman" w:eastAsia="宋体" w:cs="Times New Roman"/>
              <w:sz w:val="32"/>
              <w:szCs w:val="32"/>
            </w:rPr>
            <w:t>14</w:t>
          </w:r>
          <w:r>
            <w:rPr>
              <w:rFonts w:ascii="Times New Roman" w:hAnsi="Times New Roman" w:eastAsia="宋体" w:cs="Times New Roman"/>
              <w:sz w:val="32"/>
              <w:szCs w:val="32"/>
            </w:rPr>
            <w:fldChar w:fldCharType="end"/>
          </w:r>
          <w:r>
            <w:rPr>
              <w:rFonts w:ascii="Times New Roman" w:hAnsi="Times New Roman" w:eastAsia="宋体" w:cs="Times New Roman"/>
              <w:sz w:val="32"/>
              <w:szCs w:val="32"/>
            </w:rPr>
            <w:fldChar w:fldCharType="end"/>
          </w:r>
        </w:p>
        <w:p>
          <w:pPr>
            <w:pStyle w:val="14"/>
            <w:tabs>
              <w:tab w:val="right" w:leader="dot" w:pos="8302"/>
            </w:tabs>
            <w:spacing w:line="540" w:lineRule="exact"/>
            <w:rPr>
              <w:rFonts w:eastAsiaTheme="minorEastAsia"/>
              <w:kern w:val="2"/>
              <w:sz w:val="32"/>
              <w:szCs w:val="32"/>
            </w:rPr>
          </w:pPr>
          <w:r>
            <w:fldChar w:fldCharType="begin"/>
          </w:r>
          <w:r>
            <w:instrText xml:space="preserve"> HYPERLINK \l "_Toc124149055" </w:instrText>
          </w:r>
          <w:r>
            <w:fldChar w:fldCharType="separate"/>
          </w:r>
          <w:r>
            <w:rPr>
              <w:rStyle w:val="23"/>
              <w:rFonts w:eastAsia="黑体"/>
              <w:sz w:val="32"/>
              <w:szCs w:val="32"/>
            </w:rPr>
            <w:t>三、组织实施</w:t>
          </w:r>
          <w:r>
            <w:rPr>
              <w:sz w:val="32"/>
              <w:szCs w:val="32"/>
            </w:rPr>
            <w:tab/>
          </w:r>
          <w:r>
            <w:rPr>
              <w:sz w:val="32"/>
              <w:szCs w:val="32"/>
            </w:rPr>
            <w:fldChar w:fldCharType="begin"/>
          </w:r>
          <w:r>
            <w:rPr>
              <w:sz w:val="32"/>
              <w:szCs w:val="32"/>
            </w:rPr>
            <w:instrText xml:space="preserve"> PAGEREF _Toc124149055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15"/>
            <w:tabs>
              <w:tab w:val="right" w:leader="dot" w:pos="8302"/>
            </w:tabs>
            <w:spacing w:line="540" w:lineRule="exact"/>
            <w:rPr>
              <w:rStyle w:val="23"/>
              <w:rFonts w:eastAsia="楷体_GB2312"/>
            </w:rPr>
          </w:pPr>
          <w:r>
            <w:fldChar w:fldCharType="begin"/>
          </w:r>
          <w:r>
            <w:instrText xml:space="preserve"> HYPERLINK \l "_Toc124149056" </w:instrText>
          </w:r>
          <w:r>
            <w:fldChar w:fldCharType="separate"/>
          </w:r>
          <w:r>
            <w:rPr>
              <w:rStyle w:val="23"/>
              <w:rFonts w:ascii="Times New Roman" w:hAnsi="Times New Roman" w:eastAsia="楷体_GB2312" w:cs="Times New Roman"/>
              <w:sz w:val="30"/>
              <w:szCs w:val="30"/>
            </w:rPr>
            <w:t>（一）加强组织协调</w:t>
          </w:r>
          <w:r>
            <w:rPr>
              <w:rStyle w:val="23"/>
              <w:rFonts w:eastAsia="楷体_GB2312"/>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_Toc124149056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15</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pPr>
            <w:pStyle w:val="15"/>
            <w:tabs>
              <w:tab w:val="right" w:leader="dot" w:pos="8302"/>
            </w:tabs>
            <w:spacing w:line="540" w:lineRule="exact"/>
            <w:rPr>
              <w:rStyle w:val="23"/>
              <w:rFonts w:eastAsia="楷体_GB2312"/>
            </w:rPr>
          </w:pPr>
          <w:r>
            <w:fldChar w:fldCharType="begin"/>
          </w:r>
          <w:r>
            <w:instrText xml:space="preserve"> HYPERLINK \l "_Toc124149057" </w:instrText>
          </w:r>
          <w:r>
            <w:fldChar w:fldCharType="separate"/>
          </w:r>
          <w:r>
            <w:rPr>
              <w:rStyle w:val="23"/>
              <w:rFonts w:ascii="Times New Roman" w:hAnsi="Times New Roman" w:eastAsia="楷体_GB2312" w:cs="Times New Roman"/>
              <w:sz w:val="30"/>
              <w:szCs w:val="30"/>
            </w:rPr>
            <w:t>（二）强化任务落实</w:t>
          </w:r>
          <w:r>
            <w:rPr>
              <w:rStyle w:val="23"/>
              <w:rFonts w:eastAsia="楷体_GB2312"/>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_Toc124149057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16</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pPr>
            <w:pStyle w:val="15"/>
            <w:tabs>
              <w:tab w:val="right" w:leader="dot" w:pos="8302"/>
            </w:tabs>
            <w:spacing w:line="540" w:lineRule="exact"/>
            <w:rPr>
              <w:rStyle w:val="23"/>
              <w:rFonts w:eastAsia="楷体_GB2312"/>
            </w:rPr>
          </w:pPr>
          <w:r>
            <w:fldChar w:fldCharType="begin"/>
          </w:r>
          <w:r>
            <w:instrText xml:space="preserve"> HYPERLINK \l "_Toc124149058" </w:instrText>
          </w:r>
          <w:r>
            <w:fldChar w:fldCharType="separate"/>
          </w:r>
          <w:r>
            <w:rPr>
              <w:rStyle w:val="23"/>
              <w:rFonts w:ascii="Times New Roman" w:hAnsi="Times New Roman" w:eastAsia="楷体_GB2312" w:cs="Times New Roman"/>
              <w:sz w:val="30"/>
              <w:szCs w:val="30"/>
            </w:rPr>
            <w:t>（三）推进标准宣贯实施</w:t>
          </w:r>
          <w:r>
            <w:rPr>
              <w:rStyle w:val="23"/>
              <w:rFonts w:eastAsia="楷体_GB2312"/>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_Toc124149058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16</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pPr>
            <w:pStyle w:val="15"/>
            <w:tabs>
              <w:tab w:val="right" w:leader="dot" w:pos="8302"/>
            </w:tabs>
            <w:spacing w:line="540" w:lineRule="exact"/>
            <w:rPr>
              <w:rStyle w:val="23"/>
              <w:rFonts w:eastAsia="楷体_GB2312"/>
            </w:rPr>
          </w:pPr>
          <w:r>
            <w:fldChar w:fldCharType="begin"/>
          </w:r>
          <w:r>
            <w:instrText xml:space="preserve"> HYPERLINK \l "_Toc124149059" </w:instrText>
          </w:r>
          <w:r>
            <w:fldChar w:fldCharType="separate"/>
          </w:r>
          <w:r>
            <w:rPr>
              <w:rStyle w:val="23"/>
              <w:rFonts w:ascii="Times New Roman" w:hAnsi="Times New Roman" w:eastAsia="楷体_GB2312" w:cs="Times New Roman"/>
              <w:sz w:val="30"/>
              <w:szCs w:val="30"/>
            </w:rPr>
            <w:t>（四）加强国际合作</w:t>
          </w:r>
          <w:r>
            <w:rPr>
              <w:rStyle w:val="23"/>
              <w:rFonts w:eastAsia="楷体_GB2312"/>
            </w:rPr>
            <w:tab/>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PAGEREF _Toc124149059 \h </w:instrText>
          </w:r>
          <w:r>
            <w:rPr>
              <w:rFonts w:ascii="Times New Roman" w:hAnsi="Times New Roman" w:eastAsia="宋体" w:cs="Times New Roman"/>
              <w:sz w:val="30"/>
              <w:szCs w:val="30"/>
            </w:rPr>
            <w:fldChar w:fldCharType="separate"/>
          </w:r>
          <w:r>
            <w:rPr>
              <w:rFonts w:ascii="Times New Roman" w:hAnsi="Times New Roman" w:eastAsia="宋体" w:cs="Times New Roman"/>
              <w:sz w:val="30"/>
              <w:szCs w:val="30"/>
            </w:rPr>
            <w:t>16</w:t>
          </w:r>
          <w:r>
            <w:rPr>
              <w:rFonts w:ascii="Times New Roman" w:hAnsi="Times New Roman" w:eastAsia="宋体" w:cs="Times New Roman"/>
              <w:sz w:val="30"/>
              <w:szCs w:val="30"/>
            </w:rPr>
            <w:fldChar w:fldCharType="end"/>
          </w:r>
          <w:r>
            <w:rPr>
              <w:rFonts w:ascii="Times New Roman" w:hAnsi="Times New Roman" w:eastAsia="宋体" w:cs="Times New Roman"/>
              <w:sz w:val="30"/>
              <w:szCs w:val="30"/>
            </w:rPr>
            <w:fldChar w:fldCharType="end"/>
          </w:r>
        </w:p>
        <w:p>
          <w:pPr>
            <w:pStyle w:val="14"/>
            <w:tabs>
              <w:tab w:val="right" w:leader="dot" w:pos="8302"/>
            </w:tabs>
            <w:spacing w:line="540" w:lineRule="exact"/>
            <w:rPr>
              <w:rFonts w:eastAsiaTheme="minorEastAsia"/>
              <w:kern w:val="2"/>
              <w:sz w:val="32"/>
              <w:szCs w:val="32"/>
            </w:rPr>
          </w:pPr>
          <w:r>
            <w:fldChar w:fldCharType="begin"/>
          </w:r>
          <w:r>
            <w:instrText xml:space="preserve"> HYPERLINK \l "_Toc124149060" </w:instrText>
          </w:r>
          <w:r>
            <w:fldChar w:fldCharType="separate"/>
          </w:r>
          <w:r>
            <w:rPr>
              <w:rStyle w:val="23"/>
              <w:rFonts w:eastAsia="黑体"/>
              <w:sz w:val="32"/>
              <w:szCs w:val="32"/>
            </w:rPr>
            <w:t>附件1 工业领域碳达峰碳中和现行和在研标准项目清单</w:t>
          </w:r>
          <w:r>
            <w:rPr>
              <w:sz w:val="32"/>
              <w:szCs w:val="32"/>
            </w:rPr>
            <w:tab/>
          </w:r>
          <w:r>
            <w:rPr>
              <w:sz w:val="32"/>
              <w:szCs w:val="32"/>
            </w:rPr>
            <w:fldChar w:fldCharType="begin"/>
          </w:r>
          <w:r>
            <w:rPr>
              <w:sz w:val="32"/>
              <w:szCs w:val="32"/>
            </w:rPr>
            <w:instrText xml:space="preserve"> PAGEREF _Toc124149060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14"/>
            <w:tabs>
              <w:tab w:val="right" w:leader="dot" w:pos="8302"/>
            </w:tabs>
            <w:spacing w:line="540" w:lineRule="exact"/>
            <w:rPr>
              <w:rFonts w:eastAsiaTheme="minorEastAsia"/>
              <w:kern w:val="2"/>
              <w:sz w:val="32"/>
              <w:szCs w:val="32"/>
            </w:rPr>
          </w:pPr>
          <w:r>
            <w:fldChar w:fldCharType="begin"/>
          </w:r>
          <w:r>
            <w:instrText xml:space="preserve"> HYPERLINK \l "_Toc124149061" </w:instrText>
          </w:r>
          <w:r>
            <w:fldChar w:fldCharType="separate"/>
          </w:r>
          <w:r>
            <w:rPr>
              <w:rStyle w:val="23"/>
              <w:rFonts w:eastAsia="黑体"/>
              <w:sz w:val="32"/>
              <w:szCs w:val="32"/>
            </w:rPr>
            <w:t>附件2 工业领域碳达峰碳中和标准制定重点方向</w:t>
          </w:r>
          <w:r>
            <w:rPr>
              <w:sz w:val="32"/>
              <w:szCs w:val="32"/>
            </w:rPr>
            <w:tab/>
          </w:r>
          <w:r>
            <w:rPr>
              <w:sz w:val="32"/>
              <w:szCs w:val="32"/>
            </w:rPr>
            <w:fldChar w:fldCharType="begin"/>
          </w:r>
          <w:r>
            <w:rPr>
              <w:sz w:val="32"/>
              <w:szCs w:val="32"/>
            </w:rPr>
            <w:instrText xml:space="preserve"> PAGEREF _Toc124149061 \h </w:instrText>
          </w:r>
          <w:r>
            <w:rPr>
              <w:sz w:val="32"/>
              <w:szCs w:val="32"/>
            </w:rPr>
            <w:fldChar w:fldCharType="separate"/>
          </w:r>
          <w:r>
            <w:rPr>
              <w:sz w:val="32"/>
              <w:szCs w:val="32"/>
            </w:rPr>
            <w:t>29</w:t>
          </w:r>
          <w:r>
            <w:rPr>
              <w:sz w:val="32"/>
              <w:szCs w:val="32"/>
            </w:rPr>
            <w:fldChar w:fldCharType="end"/>
          </w:r>
          <w:r>
            <w:rPr>
              <w:sz w:val="32"/>
              <w:szCs w:val="32"/>
            </w:rPr>
            <w:fldChar w:fldCharType="end"/>
          </w:r>
        </w:p>
        <w:p>
          <w:pPr>
            <w:autoSpaceDE w:val="0"/>
            <w:autoSpaceDN w:val="0"/>
            <w:adjustRightInd w:val="0"/>
            <w:spacing w:beforeLines="0" w:afterLines="0" w:line="360" w:lineRule="auto"/>
            <w:ind w:firstLine="0" w:firstLineChars="0"/>
            <w:jc w:val="left"/>
            <w:rPr>
              <w:rFonts w:ascii="方正仿宋简体" w:hAnsi="方正仿宋简体" w:eastAsia="方正仿宋简体"/>
              <w:b/>
              <w:bCs/>
              <w:sz w:val="32"/>
              <w:szCs w:val="32"/>
              <w:lang w:val="zh-CN"/>
            </w:rPr>
          </w:pPr>
          <w:r>
            <w:rPr>
              <w:rFonts w:ascii="Times New Roman" w:hAnsi="Times New Roman" w:eastAsia="方正仿宋简体"/>
              <w:b/>
              <w:bCs/>
              <w:sz w:val="32"/>
              <w:szCs w:val="32"/>
              <w:lang w:val="zh-CN"/>
            </w:rPr>
            <w:fldChar w:fldCharType="end"/>
          </w:r>
        </w:p>
      </w:sdtContent>
    </w:sdt>
    <w:p>
      <w:pPr>
        <w:autoSpaceDE w:val="0"/>
        <w:autoSpaceDN w:val="0"/>
        <w:adjustRightInd w:val="0"/>
        <w:spacing w:beforeLines="0" w:afterLines="0" w:line="360" w:lineRule="auto"/>
        <w:ind w:firstLine="0" w:firstLineChars="0"/>
        <w:jc w:val="left"/>
        <w:rPr>
          <w:rFonts w:ascii="Times New Roman" w:hAnsi="Times New Roman" w:eastAsia="仿宋_GB2312"/>
          <w:kern w:val="0"/>
          <w:sz w:val="32"/>
          <w:szCs w:val="32"/>
        </w:rPr>
      </w:pPr>
    </w:p>
    <w:p>
      <w:pPr>
        <w:autoSpaceDE w:val="0"/>
        <w:autoSpaceDN w:val="0"/>
        <w:adjustRightInd w:val="0"/>
        <w:spacing w:beforeLines="0" w:afterLines="0" w:line="360" w:lineRule="auto"/>
        <w:ind w:firstLine="0" w:firstLineChars="0"/>
        <w:jc w:val="left"/>
        <w:rPr>
          <w:rFonts w:ascii="Times New Roman" w:hAnsi="Times New Roman" w:eastAsia="仿宋_GB2312"/>
          <w:kern w:val="0"/>
          <w:sz w:val="32"/>
          <w:szCs w:val="32"/>
        </w:rPr>
        <w:sectPr>
          <w:footerReference r:id="rId11" w:type="default"/>
          <w:pgSz w:w="11906" w:h="16838"/>
          <w:pgMar w:top="1440" w:right="1797" w:bottom="1440" w:left="1797" w:header="851" w:footer="992" w:gutter="0"/>
          <w:pgNumType w:fmt="upperRoman" w:start="1"/>
          <w:cols w:space="720" w:num="1"/>
          <w:docGrid w:type="lines" w:linePitch="312" w:charSpace="0"/>
        </w:sectPr>
      </w:pPr>
    </w:p>
    <w:p>
      <w:pPr>
        <w:pStyle w:val="2"/>
        <w:jc w:val="center"/>
        <w:rPr>
          <w:rFonts w:eastAsia="黑体"/>
          <w:b w:val="0"/>
          <w:sz w:val="36"/>
          <w:szCs w:val="36"/>
        </w:rPr>
      </w:pPr>
      <w:bookmarkStart w:id="15" w:name="_Toc124149042"/>
      <w:bookmarkStart w:id="16" w:name="_Toc81469498"/>
      <w:bookmarkStart w:id="17" w:name="_Toc436730902"/>
      <w:bookmarkStart w:id="18" w:name="_Toc490235557"/>
      <w:r>
        <w:rPr>
          <w:rFonts w:eastAsia="黑体"/>
          <w:b w:val="0"/>
          <w:sz w:val="36"/>
          <w:szCs w:val="36"/>
        </w:rPr>
        <w:t>前  言</w:t>
      </w:r>
      <w:bookmarkEnd w:id="15"/>
      <w:bookmarkEnd w:id="16"/>
    </w:p>
    <w:p>
      <w:pPr>
        <w:spacing w:beforeLines="0" w:afterLines="0"/>
        <w:ind w:firstLine="640"/>
        <w:rPr>
          <w:rFonts w:ascii="Times New Roman" w:hAnsi="Times New Roman" w:eastAsia="仿宋_GB2312"/>
          <w:sz w:val="32"/>
          <w:szCs w:val="32"/>
        </w:rPr>
      </w:pPr>
      <w:r>
        <w:rPr>
          <w:rFonts w:ascii="Times New Roman" w:hAnsi="Times New Roman" w:eastAsia="仿宋_GB2312"/>
          <w:sz w:val="32"/>
          <w:szCs w:val="32"/>
        </w:rPr>
        <w:t>为积极应对全球气候变化，我国提出二氧化碳排放力争2030年前达到峰值</w:t>
      </w:r>
      <w:r>
        <w:rPr>
          <w:rFonts w:hint="eastAsia" w:ascii="Times New Roman" w:hAnsi="Times New Roman" w:eastAsia="仿宋_GB2312"/>
          <w:sz w:val="32"/>
          <w:szCs w:val="32"/>
        </w:rPr>
        <w:t>，努力争取</w:t>
      </w:r>
      <w:r>
        <w:rPr>
          <w:rFonts w:ascii="Times New Roman" w:hAnsi="Times New Roman" w:eastAsia="仿宋_GB2312"/>
          <w:sz w:val="32"/>
          <w:szCs w:val="32"/>
        </w:rPr>
        <w:t>2060年前实现碳中和。实现碳达峰碳中和，是我国实现可持续发展、高质量发展的内在要求，也是推动构建人类命运共同体的必然选择。“十四五”是落实我国碳达峰目标的关键时期，工业领域是实现我国碳达峰目标的重点对象，推进“十四五”期间工业领域碳达峰工作是确保我国如期实现碳达峰碳中和目标的重要保证。</w:t>
      </w:r>
    </w:p>
    <w:p>
      <w:pPr>
        <w:spacing w:beforeLines="0" w:afterLines="0"/>
        <w:ind w:firstLine="640"/>
        <w:rPr>
          <w:rFonts w:ascii="Times New Roman" w:hAnsi="Times New Roman" w:eastAsia="仿宋"/>
          <w:sz w:val="32"/>
          <w:szCs w:val="32"/>
        </w:rPr>
      </w:pPr>
      <w:r>
        <w:rPr>
          <w:rFonts w:ascii="Times New Roman" w:hAnsi="Times New Roman" w:eastAsia="仿宋_GB2312"/>
          <w:sz w:val="32"/>
          <w:szCs w:val="32"/>
          <w:lang w:eastAsia="zh-Hans"/>
        </w:rPr>
        <w:t>为深入贯彻落实党中央、国务院关于碳达峰碳中和决策部署，充分发挥</w:t>
      </w:r>
      <w:r>
        <w:rPr>
          <w:rFonts w:ascii="Times New Roman" w:hAnsi="Times New Roman" w:eastAsia="仿宋_GB2312"/>
          <w:sz w:val="32"/>
          <w:szCs w:val="32"/>
        </w:rPr>
        <w:t>标准在推进工业领域碳达峰碳中和工作的引领和规范作用，工业和信息化部组织有关行业协会、科研机构和标准化</w:t>
      </w:r>
      <w:r>
        <w:rPr>
          <w:rFonts w:hint="eastAsia" w:ascii="Times New Roman" w:hAnsi="Times New Roman" w:eastAsia="仿宋_GB2312"/>
          <w:sz w:val="32"/>
          <w:szCs w:val="32"/>
        </w:rPr>
        <w:t>技术</w:t>
      </w:r>
      <w:r>
        <w:rPr>
          <w:rFonts w:ascii="Times New Roman" w:hAnsi="Times New Roman" w:eastAsia="仿宋_GB2312"/>
          <w:sz w:val="32"/>
          <w:szCs w:val="32"/>
        </w:rPr>
        <w:t>组织编制了《工业领域碳达峰碳中和标准体系建设指南（2023版）》并建立体系动态更新机制，提出工业领域碳达峰碳中和标准体系框架，</w:t>
      </w:r>
      <w:r>
        <w:rPr>
          <w:rFonts w:ascii="Times New Roman" w:hAnsi="Times New Roman" w:eastAsia="仿宋_GB2312"/>
          <w:sz w:val="32"/>
          <w:szCs w:val="32"/>
          <w:lang w:eastAsia="zh-Hans"/>
        </w:rPr>
        <w:t>规划了相关</w:t>
      </w:r>
      <w:r>
        <w:rPr>
          <w:rFonts w:ascii="Times New Roman" w:hAnsi="Times New Roman" w:eastAsia="仿宋_GB2312"/>
          <w:sz w:val="32"/>
          <w:szCs w:val="32"/>
        </w:rPr>
        <w:t>标准的研制方向，</w:t>
      </w:r>
      <w:r>
        <w:rPr>
          <w:rFonts w:ascii="Times New Roman" w:hAnsi="Times New Roman" w:eastAsia="仿宋_GB2312"/>
          <w:sz w:val="32"/>
          <w:szCs w:val="32"/>
          <w:lang w:eastAsia="zh-Hans"/>
        </w:rPr>
        <w:t>注重与现有工业节能</w:t>
      </w:r>
      <w:r>
        <w:rPr>
          <w:rFonts w:hint="eastAsia" w:ascii="Times New Roman" w:hAnsi="Times New Roman" w:eastAsia="仿宋_GB2312"/>
          <w:sz w:val="32"/>
          <w:szCs w:val="32"/>
          <w:lang w:eastAsia="zh-Hans"/>
        </w:rPr>
        <w:t>与</w:t>
      </w:r>
      <w:r>
        <w:rPr>
          <w:rFonts w:ascii="Times New Roman" w:hAnsi="Times New Roman" w:eastAsia="仿宋_GB2312"/>
          <w:sz w:val="32"/>
          <w:szCs w:val="32"/>
          <w:lang w:eastAsia="zh-Hans"/>
        </w:rPr>
        <w:t>综合利用标准体系、绿色制造标准体系的有效衔接。</w:t>
      </w:r>
      <w:r>
        <w:rPr>
          <w:rFonts w:ascii="Times New Roman" w:hAnsi="Times New Roman" w:eastAsia="仿宋_GB2312"/>
          <w:sz w:val="32"/>
          <w:szCs w:val="32"/>
        </w:rPr>
        <w:t>希望通过</w:t>
      </w:r>
      <w:r>
        <w:rPr>
          <w:rFonts w:ascii="Times New Roman" w:hAnsi="Times New Roman" w:eastAsia="仿宋_GB2312"/>
          <w:sz w:val="32"/>
          <w:szCs w:val="32"/>
          <w:lang w:eastAsia="zh-Hans"/>
        </w:rPr>
        <w:t>加快相关标准制定、持续</w:t>
      </w:r>
      <w:r>
        <w:rPr>
          <w:rFonts w:ascii="Times New Roman" w:hAnsi="Times New Roman" w:eastAsia="仿宋_GB2312"/>
          <w:sz w:val="32"/>
          <w:szCs w:val="32"/>
        </w:rPr>
        <w:t>完善标准</w:t>
      </w:r>
      <w:r>
        <w:rPr>
          <w:rFonts w:ascii="Times New Roman" w:hAnsi="Times New Roman" w:eastAsia="仿宋_GB2312"/>
          <w:sz w:val="32"/>
          <w:szCs w:val="32"/>
          <w:lang w:eastAsia="zh-Hans"/>
        </w:rPr>
        <w:t>体系</w:t>
      </w:r>
      <w:r>
        <w:rPr>
          <w:rFonts w:ascii="Times New Roman" w:hAnsi="Times New Roman" w:eastAsia="仿宋_GB2312"/>
          <w:sz w:val="32"/>
          <w:szCs w:val="32"/>
        </w:rPr>
        <w:t>，推进工业领域</w:t>
      </w:r>
      <w:r>
        <w:rPr>
          <w:rFonts w:hint="eastAsia" w:ascii="Times New Roman" w:hAnsi="Times New Roman" w:eastAsia="仿宋_GB2312"/>
          <w:sz w:val="32"/>
          <w:szCs w:val="32"/>
        </w:rPr>
        <w:t>向</w:t>
      </w:r>
      <w:r>
        <w:rPr>
          <w:rFonts w:ascii="Times New Roman" w:hAnsi="Times New Roman" w:eastAsia="仿宋_GB2312"/>
          <w:sz w:val="32"/>
          <w:szCs w:val="32"/>
        </w:rPr>
        <w:t>低碳</w:t>
      </w:r>
      <w:r>
        <w:rPr>
          <w:rFonts w:hint="eastAsia" w:ascii="Times New Roman" w:hAnsi="Times New Roman" w:eastAsia="仿宋_GB2312"/>
          <w:sz w:val="32"/>
          <w:szCs w:val="32"/>
        </w:rPr>
        <w:t>、</w:t>
      </w:r>
      <w:r>
        <w:rPr>
          <w:rFonts w:ascii="Times New Roman" w:hAnsi="Times New Roman" w:eastAsia="仿宋_GB2312"/>
          <w:sz w:val="32"/>
          <w:szCs w:val="32"/>
        </w:rPr>
        <w:t>零碳</w:t>
      </w:r>
      <w:r>
        <w:rPr>
          <w:rFonts w:ascii="Times New Roman" w:hAnsi="Times New Roman" w:eastAsia="仿宋_GB2312"/>
          <w:sz w:val="32"/>
          <w:szCs w:val="32"/>
          <w:lang w:eastAsia="zh-Hans"/>
        </w:rPr>
        <w:t>发展</w:t>
      </w:r>
      <w:r>
        <w:rPr>
          <w:rFonts w:ascii="Times New Roman" w:hAnsi="Times New Roman" w:eastAsia="仿宋_GB2312"/>
          <w:sz w:val="32"/>
          <w:szCs w:val="32"/>
        </w:rPr>
        <w:t>模式转变。</w:t>
      </w:r>
    </w:p>
    <w:p>
      <w:pPr>
        <w:widowControl/>
        <w:spacing w:beforeLines="0" w:afterLines="0"/>
        <w:ind w:firstLine="0" w:firstLineChars="0"/>
        <w:jc w:val="left"/>
        <w:rPr>
          <w:rFonts w:ascii="Times New Roman" w:hAnsi="Times New Roman" w:eastAsia="仿宋"/>
          <w:sz w:val="32"/>
          <w:szCs w:val="32"/>
        </w:rPr>
        <w:sectPr>
          <w:pgSz w:w="11906" w:h="16838"/>
          <w:pgMar w:top="1440" w:right="1797" w:bottom="1440" w:left="1797" w:header="851" w:footer="992" w:gutter="0"/>
          <w:pgNumType w:fmt="upperRoman" w:start="2"/>
          <w:cols w:space="720" w:num="1"/>
          <w:docGrid w:type="lines" w:linePitch="312" w:charSpace="0"/>
        </w:sectPr>
      </w:pPr>
    </w:p>
    <w:p>
      <w:pPr>
        <w:pStyle w:val="2"/>
        <w:adjustRightInd w:val="0"/>
        <w:snapToGrid w:val="0"/>
        <w:spacing w:line="240" w:lineRule="auto"/>
        <w:ind w:left="720"/>
        <w:rPr>
          <w:rFonts w:eastAsia="黑体"/>
          <w:b w:val="0"/>
          <w:sz w:val="36"/>
          <w:szCs w:val="36"/>
        </w:rPr>
      </w:pPr>
      <w:bookmarkStart w:id="19" w:name="_Toc124149043"/>
      <w:r>
        <w:rPr>
          <w:rFonts w:hint="eastAsia" w:eastAsia="黑体"/>
          <w:b w:val="0"/>
          <w:sz w:val="36"/>
          <w:szCs w:val="36"/>
          <w:lang w:eastAsia="zh-Hans"/>
        </w:rPr>
        <w:t>一</w:t>
      </w:r>
      <w:r>
        <w:rPr>
          <w:rFonts w:eastAsia="黑体"/>
          <w:b w:val="0"/>
          <w:sz w:val="36"/>
          <w:szCs w:val="36"/>
          <w:lang w:eastAsia="zh-Hans"/>
        </w:rPr>
        <w:t>、</w:t>
      </w:r>
      <w:r>
        <w:rPr>
          <w:rFonts w:hint="eastAsia" w:eastAsia="黑体"/>
          <w:b w:val="0"/>
          <w:sz w:val="36"/>
          <w:szCs w:val="36"/>
        </w:rPr>
        <w:t>总体要求</w:t>
      </w:r>
      <w:bookmarkEnd w:id="19"/>
    </w:p>
    <w:p>
      <w:pPr>
        <w:pStyle w:val="2"/>
        <w:spacing w:line="240" w:lineRule="auto"/>
        <w:rPr>
          <w:rFonts w:ascii="楷体_GB2312" w:hAnsi="楷体_GB2312" w:eastAsia="楷体_GB2312" w:cs="楷体_GB2312"/>
          <w:b w:val="0"/>
          <w:bCs w:val="0"/>
          <w:sz w:val="32"/>
          <w:szCs w:val="32"/>
        </w:rPr>
      </w:pPr>
      <w:bookmarkStart w:id="20" w:name="_Toc39420668"/>
      <w:bookmarkStart w:id="21" w:name="_Toc40705473"/>
      <w:r>
        <w:rPr>
          <w:rFonts w:hint="eastAsia" w:ascii="楷体" w:hAnsi="楷体" w:eastAsia="楷体"/>
          <w:sz w:val="32"/>
          <w:szCs w:val="32"/>
        </w:rPr>
        <w:t xml:space="preserve">    </w:t>
      </w:r>
      <w:bookmarkStart w:id="22" w:name="_Toc124149044"/>
      <w:r>
        <w:rPr>
          <w:rFonts w:hint="eastAsia" w:ascii="楷体_GB2312" w:hAnsi="楷体_GB2312" w:eastAsia="楷体_GB2312" w:cs="楷体_GB2312"/>
          <w:b w:val="0"/>
          <w:bCs w:val="0"/>
          <w:sz w:val="32"/>
          <w:szCs w:val="32"/>
        </w:rPr>
        <w:t>（一）</w:t>
      </w:r>
      <w:bookmarkEnd w:id="17"/>
      <w:bookmarkEnd w:id="18"/>
      <w:bookmarkEnd w:id="20"/>
      <w:bookmarkEnd w:id="21"/>
      <w:r>
        <w:rPr>
          <w:rFonts w:hint="eastAsia" w:ascii="楷体_GB2312" w:hAnsi="楷体_GB2312" w:eastAsia="楷体_GB2312" w:cs="楷体_GB2312"/>
          <w:b w:val="0"/>
          <w:bCs w:val="0"/>
          <w:sz w:val="32"/>
          <w:szCs w:val="32"/>
          <w:lang w:eastAsia="zh-Hans"/>
        </w:rPr>
        <w:t>指导</w:t>
      </w:r>
      <w:r>
        <w:rPr>
          <w:rFonts w:ascii="楷体_GB2312" w:hAnsi="楷体_GB2312" w:eastAsia="楷体_GB2312" w:cs="楷体_GB2312"/>
          <w:b w:val="0"/>
          <w:bCs w:val="0"/>
          <w:sz w:val="32"/>
          <w:szCs w:val="32"/>
          <w:lang w:eastAsia="zh-Hans"/>
        </w:rPr>
        <w:t>思想</w:t>
      </w:r>
      <w:bookmarkEnd w:id="22"/>
    </w:p>
    <w:p>
      <w:pPr>
        <w:widowControl/>
        <w:spacing w:beforeLines="0" w:afterLines="0"/>
        <w:ind w:firstLine="640"/>
        <w:rPr>
          <w:rFonts w:ascii="Times New Roman" w:hAnsi="Times New Roman" w:eastAsia="仿宋_GB2312"/>
          <w:sz w:val="32"/>
          <w:szCs w:val="32"/>
        </w:rPr>
      </w:pPr>
      <w:bookmarkStart w:id="23" w:name="_Toc436730903"/>
      <w:r>
        <w:rPr>
          <w:rFonts w:ascii="Times New Roman" w:hAnsi="Times New Roman" w:eastAsia="仿宋_GB2312"/>
          <w:sz w:val="32"/>
          <w:szCs w:val="32"/>
        </w:rPr>
        <w:t>以习近平新时代中国特色社会主义思想为指导，</w:t>
      </w:r>
      <w:r>
        <w:rPr>
          <w:rFonts w:ascii="Times New Roman" w:hAnsi="Times New Roman" w:eastAsia="仿宋_GB2312"/>
          <w:sz w:val="32"/>
          <w:szCs w:val="32"/>
          <w:lang w:eastAsia="zh-Hans"/>
        </w:rPr>
        <w:t>全面贯彻党的</w:t>
      </w:r>
      <w:r>
        <w:rPr>
          <w:rFonts w:hint="eastAsia" w:ascii="Times New Roman" w:hAnsi="Times New Roman" w:eastAsia="仿宋_GB2312"/>
          <w:sz w:val="32"/>
          <w:szCs w:val="32"/>
        </w:rPr>
        <w:t>二十大</w:t>
      </w:r>
      <w:r>
        <w:rPr>
          <w:rFonts w:ascii="Times New Roman" w:hAnsi="Times New Roman" w:eastAsia="仿宋_GB2312"/>
          <w:sz w:val="32"/>
          <w:szCs w:val="32"/>
          <w:lang w:eastAsia="zh-Hans"/>
        </w:rPr>
        <w:t>全会精神，按照</w:t>
      </w:r>
      <w:r>
        <w:rPr>
          <w:rFonts w:hint="eastAsia" w:ascii="仿宋_GB2312" w:hAnsi="宋体" w:eastAsia="仿宋_GB2312" w:cs="宋体"/>
          <w:color w:val="000000"/>
          <w:kern w:val="0"/>
          <w:sz w:val="32"/>
          <w:szCs w:val="32"/>
        </w:rPr>
        <w:t>《中共中央 国务院关于完整准确全面贯彻新发展理念做好碳达峰碳中和工作的意见》和《</w:t>
      </w:r>
      <w:r>
        <w:rPr>
          <w:rFonts w:ascii="Times New Roman" w:hAnsi="Times New Roman"/>
          <w:color w:val="000000"/>
          <w:kern w:val="0"/>
          <w:sz w:val="32"/>
          <w:szCs w:val="32"/>
        </w:rPr>
        <w:t>2030</w:t>
      </w:r>
      <w:r>
        <w:rPr>
          <w:rFonts w:hint="eastAsia" w:ascii="仿宋_GB2312" w:hAnsi="宋体" w:eastAsia="仿宋_GB2312" w:cs="宋体"/>
          <w:color w:val="000000"/>
          <w:kern w:val="0"/>
          <w:sz w:val="32"/>
          <w:szCs w:val="32"/>
        </w:rPr>
        <w:t>年前碳达峰行动方案》</w:t>
      </w:r>
      <w:r>
        <w:rPr>
          <w:rFonts w:ascii="Times New Roman" w:hAnsi="Times New Roman" w:eastAsia="仿宋_GB2312"/>
          <w:sz w:val="32"/>
          <w:szCs w:val="32"/>
          <w:lang w:eastAsia="zh-Hans"/>
        </w:rPr>
        <w:t>要求，</w:t>
      </w:r>
      <w:r>
        <w:rPr>
          <w:rFonts w:ascii="Times New Roman" w:hAnsi="Times New Roman" w:eastAsia="仿宋_GB2312"/>
          <w:sz w:val="32"/>
          <w:szCs w:val="32"/>
        </w:rPr>
        <w:t>深入贯彻</w:t>
      </w:r>
      <w:r>
        <w:rPr>
          <w:rFonts w:ascii="Times New Roman" w:hAnsi="Times New Roman" w:eastAsia="仿宋_GB2312"/>
          <w:sz w:val="32"/>
          <w:szCs w:val="32"/>
          <w:lang w:eastAsia="zh-Hans"/>
        </w:rPr>
        <w:t>习近平生态文明思想，立足新发展阶段、贯彻新发展理念、构建新发展格局，坚定不移实施制造强国</w:t>
      </w:r>
      <w:r>
        <w:rPr>
          <w:rFonts w:ascii="Times New Roman" w:hAnsi="Times New Roman" w:eastAsia="仿宋_GB2312"/>
          <w:sz w:val="32"/>
          <w:szCs w:val="32"/>
        </w:rPr>
        <w:t>、</w:t>
      </w:r>
      <w:r>
        <w:rPr>
          <w:rFonts w:ascii="Times New Roman" w:hAnsi="Times New Roman" w:eastAsia="仿宋_GB2312"/>
          <w:sz w:val="32"/>
          <w:szCs w:val="32"/>
          <w:lang w:eastAsia="zh-Hans"/>
        </w:rPr>
        <w:t>网络强国战略，</w:t>
      </w:r>
      <w:r>
        <w:rPr>
          <w:rFonts w:hint="eastAsia" w:ascii="Times New Roman" w:hAnsi="Times New Roman" w:eastAsia="仿宋_GB2312"/>
          <w:sz w:val="32"/>
          <w:szCs w:val="32"/>
          <w:lang w:eastAsia="zh-Hans"/>
        </w:rPr>
        <w:t>紧密围绕</w:t>
      </w:r>
      <w:r>
        <w:rPr>
          <w:rFonts w:hint="eastAsia" w:ascii="Times New Roman" w:hAnsi="Times New Roman" w:eastAsia="仿宋_GB2312"/>
          <w:sz w:val="32"/>
          <w:szCs w:val="32"/>
        </w:rPr>
        <w:t>《建立健全碳达峰碳中和标准计量体系实施方案》和《工业领域碳达峰实施方案》总体</w:t>
      </w:r>
      <w:r>
        <w:rPr>
          <w:rFonts w:hint="eastAsia" w:ascii="Times New Roman" w:hAnsi="Times New Roman" w:eastAsia="仿宋_GB2312"/>
          <w:sz w:val="32"/>
          <w:szCs w:val="32"/>
          <w:lang w:eastAsia="zh-Hans"/>
        </w:rPr>
        <w:t>目标</w:t>
      </w:r>
      <w:r>
        <w:rPr>
          <w:rFonts w:hint="eastAsia" w:ascii="Times New Roman" w:hAnsi="Times New Roman" w:eastAsia="仿宋_GB2312"/>
          <w:sz w:val="32"/>
          <w:szCs w:val="32"/>
        </w:rPr>
        <w:t>和重点任务</w:t>
      </w:r>
      <w:r>
        <w:rPr>
          <w:rFonts w:hint="eastAsia" w:ascii="Times New Roman" w:hAnsi="Times New Roman" w:eastAsia="仿宋_GB2312"/>
          <w:sz w:val="32"/>
          <w:szCs w:val="32"/>
          <w:lang w:eastAsia="zh-Hans"/>
        </w:rPr>
        <w:t>，加强标准化</w:t>
      </w:r>
      <w:r>
        <w:rPr>
          <w:rFonts w:ascii="Times New Roman" w:hAnsi="Times New Roman" w:eastAsia="仿宋_GB2312"/>
          <w:sz w:val="32"/>
          <w:szCs w:val="32"/>
          <w:lang w:eastAsia="zh-Hans"/>
        </w:rPr>
        <w:t>工作的统筹规划和顶层设计，大力</w:t>
      </w:r>
      <w:r>
        <w:rPr>
          <w:rFonts w:ascii="Times New Roman" w:hAnsi="Times New Roman" w:eastAsia="仿宋_GB2312"/>
          <w:sz w:val="32"/>
          <w:szCs w:val="32"/>
        </w:rPr>
        <w:t>构建适应工业发展的标准体系，加快</w:t>
      </w:r>
      <w:r>
        <w:rPr>
          <w:rFonts w:ascii="Times New Roman" w:hAnsi="Times New Roman" w:eastAsia="仿宋_GB2312"/>
          <w:sz w:val="32"/>
          <w:szCs w:val="32"/>
          <w:lang w:eastAsia="zh-Hans"/>
        </w:rPr>
        <w:t>推进工业领域碳达峰碳中和急需标准的制定，积极参与相关国际标准化活动，进一步</w:t>
      </w:r>
      <w:r>
        <w:rPr>
          <w:rFonts w:ascii="Times New Roman" w:hAnsi="Times New Roman" w:eastAsia="仿宋_GB2312"/>
          <w:sz w:val="32"/>
          <w:szCs w:val="32"/>
        </w:rPr>
        <w:t>提升标准对</w:t>
      </w:r>
      <w:r>
        <w:rPr>
          <w:rFonts w:ascii="Times New Roman" w:hAnsi="Times New Roman" w:eastAsia="仿宋_GB2312"/>
          <w:sz w:val="32"/>
          <w:szCs w:val="32"/>
          <w:lang w:eastAsia="zh-Hans"/>
        </w:rPr>
        <w:t>工业领域碳达峰碳中和工作的引领、指导、规范和支撑作用。</w:t>
      </w:r>
    </w:p>
    <w:p>
      <w:pPr>
        <w:pStyle w:val="2"/>
        <w:spacing w:line="360" w:lineRule="auto"/>
        <w:rPr>
          <w:rFonts w:ascii="楷体_GB2312" w:hAnsi="楷体_GB2312" w:eastAsia="楷体_GB2312" w:cs="楷体_GB2312"/>
          <w:b w:val="0"/>
          <w:bCs w:val="0"/>
          <w:sz w:val="32"/>
          <w:szCs w:val="32"/>
        </w:rPr>
      </w:pPr>
      <w:bookmarkStart w:id="24" w:name="_Toc39420669"/>
      <w:bookmarkStart w:id="25" w:name="_Toc490235558"/>
      <w:bookmarkStart w:id="26" w:name="_Toc40705474"/>
      <w:r>
        <w:rPr>
          <w:rFonts w:hint="eastAsia" w:ascii="楷体_GB2312" w:hAnsi="楷体_GB2312" w:eastAsia="楷体_GB2312" w:cs="楷体_GB2312"/>
          <w:b w:val="0"/>
          <w:bCs w:val="0"/>
          <w:sz w:val="32"/>
          <w:szCs w:val="32"/>
        </w:rPr>
        <w:t xml:space="preserve">    </w:t>
      </w:r>
      <w:bookmarkStart w:id="27" w:name="_Toc124149045"/>
      <w:r>
        <w:rPr>
          <w:rFonts w:hint="eastAsia" w:ascii="楷体_GB2312" w:hAnsi="楷体_GB2312" w:eastAsia="楷体_GB2312" w:cs="楷体_GB2312"/>
          <w:b w:val="0"/>
          <w:bCs w:val="0"/>
          <w:sz w:val="32"/>
          <w:szCs w:val="32"/>
        </w:rPr>
        <w:t>（二）基本原则</w:t>
      </w:r>
      <w:bookmarkEnd w:id="23"/>
      <w:bookmarkEnd w:id="24"/>
      <w:bookmarkEnd w:id="25"/>
      <w:bookmarkEnd w:id="26"/>
      <w:bookmarkEnd w:id="27"/>
    </w:p>
    <w:p>
      <w:pPr>
        <w:spacing w:before="31" w:after="31" w:line="360" w:lineRule="auto"/>
        <w:ind w:firstLine="640"/>
        <w:rPr>
          <w:rFonts w:ascii="仿宋_GB2312" w:hAnsi="仿宋_GB2312" w:eastAsia="仿宋_GB2312" w:cs="仿宋_GB2312"/>
          <w:sz w:val="32"/>
          <w:szCs w:val="32"/>
          <w:lang w:eastAsia="zh-Hans"/>
        </w:rPr>
      </w:pPr>
      <w:r>
        <w:rPr>
          <w:rFonts w:ascii="Times New Roman" w:hAnsi="Times New Roman" w:eastAsia="楷体"/>
          <w:sz w:val="32"/>
          <w:szCs w:val="32"/>
        </w:rPr>
        <w:t>——</w:t>
      </w:r>
      <w:r>
        <w:rPr>
          <w:rFonts w:hint="eastAsia" w:ascii="楷体_GB2312" w:hAnsi="楷体_GB2312" w:eastAsia="楷体_GB2312" w:cs="楷体_GB2312"/>
          <w:sz w:val="32"/>
          <w:szCs w:val="32"/>
          <w:lang w:eastAsia="zh-Hans"/>
        </w:rPr>
        <w:t>统筹规划、协调配套。</w:t>
      </w:r>
      <w:r>
        <w:rPr>
          <w:rFonts w:hint="eastAsia" w:ascii="仿宋_GB2312" w:hAnsi="仿宋_GB2312" w:eastAsia="仿宋_GB2312" w:cs="仿宋_GB2312"/>
          <w:sz w:val="32"/>
          <w:szCs w:val="32"/>
        </w:rPr>
        <w:t>全面覆盖</w:t>
      </w:r>
      <w:r>
        <w:rPr>
          <w:rFonts w:hint="eastAsia" w:ascii="仿宋_GB2312" w:hAnsi="仿宋_GB2312" w:eastAsia="仿宋_GB2312" w:cs="仿宋_GB2312"/>
          <w:sz w:val="32"/>
          <w:szCs w:val="32"/>
          <w:lang w:eastAsia="zh-Hans"/>
        </w:rPr>
        <w:t>工业</w:t>
      </w:r>
      <w:r>
        <w:rPr>
          <w:rFonts w:hint="eastAsia" w:ascii="仿宋_GB2312" w:hAnsi="仿宋_GB2312" w:eastAsia="仿宋_GB2312" w:cs="仿宋_GB2312"/>
          <w:sz w:val="32"/>
          <w:szCs w:val="32"/>
        </w:rPr>
        <w:t>低碳转型发展</w:t>
      </w:r>
      <w:r>
        <w:rPr>
          <w:rFonts w:hint="eastAsia" w:ascii="仿宋_GB2312" w:hAnsi="仿宋_GB2312" w:eastAsia="仿宋_GB2312" w:cs="仿宋_GB2312"/>
          <w:sz w:val="32"/>
          <w:szCs w:val="32"/>
          <w:lang w:eastAsia="zh-Hans"/>
        </w:rPr>
        <w:t>各</w:t>
      </w:r>
      <w:r>
        <w:rPr>
          <w:rFonts w:hint="eastAsia" w:ascii="仿宋_GB2312" w:hAnsi="仿宋_GB2312" w:eastAsia="仿宋_GB2312" w:cs="仿宋_GB2312"/>
          <w:sz w:val="32"/>
          <w:szCs w:val="32"/>
        </w:rPr>
        <w:t>相关领域，从制造流程、技术发展、生命周期、产业链条等多个维度</w:t>
      </w:r>
      <w:r>
        <w:rPr>
          <w:rFonts w:hint="eastAsia" w:ascii="仿宋_GB2312" w:hAnsi="仿宋_GB2312" w:eastAsia="仿宋_GB2312" w:cs="仿宋_GB2312"/>
          <w:sz w:val="32"/>
          <w:szCs w:val="32"/>
          <w:lang w:eastAsia="zh-Hans"/>
        </w:rPr>
        <w:t>统筹规划工业领域碳达峰碳中和标准体系，综合考虑</w:t>
      </w:r>
      <w:r>
        <w:rPr>
          <w:rFonts w:hint="eastAsia" w:ascii="仿宋_GB2312" w:hAnsi="仿宋_GB2312" w:eastAsia="仿宋_GB2312" w:cs="仿宋_GB2312"/>
          <w:sz w:val="32"/>
          <w:szCs w:val="32"/>
        </w:rPr>
        <w:t>产品、企业、园区、供应链等层面的碳排放。</w:t>
      </w:r>
      <w:r>
        <w:rPr>
          <w:rFonts w:hint="eastAsia" w:ascii="仿宋_GB2312" w:hAnsi="仿宋_GB2312" w:eastAsia="仿宋_GB2312" w:cs="仿宋_GB2312"/>
          <w:sz w:val="32"/>
          <w:szCs w:val="32"/>
          <w:lang w:eastAsia="zh-Hans"/>
        </w:rPr>
        <w:t>注重</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Hans"/>
        </w:rPr>
        <w:t>现有的</w:t>
      </w:r>
      <w:r>
        <w:rPr>
          <w:rFonts w:hint="eastAsia" w:ascii="仿宋_GB2312" w:hAnsi="仿宋_GB2312" w:eastAsia="仿宋_GB2312" w:cs="仿宋_GB2312"/>
          <w:sz w:val="32"/>
          <w:szCs w:val="32"/>
        </w:rPr>
        <w:t>节能与综合利用、绿色制造等标准体系</w:t>
      </w:r>
      <w:r>
        <w:rPr>
          <w:rFonts w:hint="eastAsia" w:ascii="仿宋_GB2312" w:hAnsi="仿宋_GB2312" w:eastAsia="仿宋_GB2312" w:cs="仿宋_GB2312"/>
          <w:sz w:val="32"/>
          <w:szCs w:val="32"/>
          <w:lang w:eastAsia="zh-Hans"/>
        </w:rPr>
        <w:t>协调</w:t>
      </w:r>
      <w:r>
        <w:rPr>
          <w:rFonts w:hint="eastAsia" w:ascii="仿宋_GB2312" w:hAnsi="仿宋_GB2312" w:eastAsia="仿宋_GB2312" w:cs="仿宋_GB2312"/>
          <w:sz w:val="32"/>
          <w:szCs w:val="32"/>
        </w:rPr>
        <w:t>配套，</w:t>
      </w:r>
      <w:r>
        <w:rPr>
          <w:rFonts w:hint="eastAsia" w:ascii="仿宋_GB2312" w:hAnsi="仿宋_GB2312" w:eastAsia="仿宋_GB2312" w:cs="仿宋_GB2312"/>
          <w:sz w:val="32"/>
          <w:szCs w:val="32"/>
          <w:lang w:eastAsia="zh-Hans"/>
        </w:rPr>
        <w:t>推动国家标准、行业标准和团体标准协调发展。</w:t>
      </w:r>
    </w:p>
    <w:p>
      <w:pPr>
        <w:spacing w:before="31" w:after="31" w:line="360" w:lineRule="auto"/>
        <w:ind w:firstLine="640"/>
        <w:rPr>
          <w:rFonts w:ascii="仿宋_GB2312" w:hAnsi="仿宋_GB2312" w:eastAsia="仿宋_GB2312" w:cs="仿宋_GB2312"/>
          <w:sz w:val="32"/>
          <w:szCs w:val="32"/>
          <w:lang w:eastAsia="zh-Hans"/>
        </w:rPr>
      </w:pPr>
      <w:r>
        <w:rPr>
          <w:rFonts w:ascii="Times New Roman" w:hAnsi="Times New Roman" w:eastAsia="楷体"/>
          <w:sz w:val="32"/>
          <w:szCs w:val="32"/>
        </w:rPr>
        <w:t>——</w:t>
      </w:r>
      <w:r>
        <w:rPr>
          <w:rFonts w:hint="eastAsia" w:ascii="楷体_GB2312" w:hAnsi="楷体_GB2312" w:eastAsia="楷体_GB2312" w:cs="楷体_GB2312"/>
          <w:sz w:val="32"/>
          <w:szCs w:val="32"/>
          <w:lang w:eastAsia="zh-Hans"/>
        </w:rPr>
        <w:t>稳步推进、急用先行。</w:t>
      </w:r>
      <w:r>
        <w:rPr>
          <w:rFonts w:hint="eastAsia" w:ascii="仿宋_GB2312" w:hAnsi="仿宋_GB2312" w:eastAsia="仿宋_GB2312" w:cs="仿宋_GB2312"/>
          <w:sz w:val="32"/>
          <w:szCs w:val="32"/>
          <w:lang w:eastAsia="zh-Hans"/>
        </w:rPr>
        <w:t>加强工业领域低碳转型与保持制造业比重基本稳定、产业链供应链安全的协同，稳步推进碳达峰碳中和相关标准化工作。聚焦钢铁、建材、有色金属、石化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化工等碳排放重点行业，以及重点产品降碳、工艺过程控碳、</w:t>
      </w:r>
      <w:r>
        <w:rPr>
          <w:rFonts w:hint="eastAsia" w:ascii="仿宋_GB2312" w:hAnsi="仿宋_GB2312" w:eastAsia="仿宋_GB2312" w:cs="仿宋_GB2312"/>
          <w:sz w:val="32"/>
          <w:szCs w:val="32"/>
        </w:rPr>
        <w:t>协同降碳</w:t>
      </w:r>
      <w:r>
        <w:rPr>
          <w:rFonts w:hint="eastAsia" w:ascii="仿宋_GB2312" w:hAnsi="仿宋_GB2312" w:eastAsia="仿宋_GB2312" w:cs="仿宋_GB2312"/>
          <w:sz w:val="32"/>
          <w:szCs w:val="32"/>
          <w:lang w:eastAsia="zh-Hans"/>
        </w:rPr>
        <w:t>等方面，加快急需标准的制定，及时修订现有标准。</w:t>
      </w:r>
    </w:p>
    <w:p>
      <w:pPr>
        <w:spacing w:before="31" w:after="31" w:line="360" w:lineRule="auto"/>
        <w:ind w:firstLine="640"/>
        <w:rPr>
          <w:rFonts w:ascii="仿宋_GB2312" w:hAnsi="仿宋_GB2312" w:eastAsia="仿宋_GB2312" w:cs="仿宋_GB2312"/>
          <w:sz w:val="32"/>
          <w:szCs w:val="32"/>
        </w:rPr>
      </w:pPr>
      <w:r>
        <w:rPr>
          <w:rFonts w:ascii="Times New Roman" w:hAnsi="Times New Roman" w:eastAsia="楷体"/>
          <w:sz w:val="32"/>
          <w:szCs w:val="32"/>
        </w:rPr>
        <w:t>——</w:t>
      </w:r>
      <w:r>
        <w:rPr>
          <w:rFonts w:hint="eastAsia" w:ascii="楷体_GB2312" w:hAnsi="楷体_GB2312" w:eastAsia="楷体_GB2312" w:cs="楷体_GB2312"/>
          <w:sz w:val="32"/>
          <w:szCs w:val="32"/>
          <w:lang w:eastAsia="zh-Hans"/>
        </w:rPr>
        <w:t>创新驱动、数字赋能。</w:t>
      </w:r>
      <w:r>
        <w:rPr>
          <w:rFonts w:hint="eastAsia" w:ascii="仿宋_GB2312" w:hAnsi="仿宋_GB2312" w:eastAsia="仿宋_GB2312" w:cs="仿宋_GB2312"/>
          <w:sz w:val="32"/>
          <w:szCs w:val="32"/>
          <w:lang w:eastAsia="zh-Hans"/>
        </w:rPr>
        <w:t>鼓励工业领域的</w:t>
      </w:r>
      <w:r>
        <w:rPr>
          <w:rFonts w:hint="eastAsia" w:ascii="仿宋_GB2312" w:hAnsi="仿宋_GB2312" w:eastAsia="仿宋_GB2312" w:cs="仿宋_GB2312"/>
          <w:sz w:val="32"/>
          <w:szCs w:val="32"/>
        </w:rPr>
        <w:t>低碳技术</w:t>
      </w:r>
      <w:r>
        <w:rPr>
          <w:rFonts w:hint="eastAsia" w:ascii="仿宋_GB2312" w:hAnsi="仿宋_GB2312" w:eastAsia="仿宋_GB2312" w:cs="仿宋_GB2312"/>
          <w:sz w:val="32"/>
          <w:szCs w:val="32"/>
          <w:lang w:eastAsia="zh-Hans"/>
        </w:rPr>
        <w:t>创新</w:t>
      </w:r>
      <w:r>
        <w:rPr>
          <w:rFonts w:hint="eastAsia" w:ascii="仿宋_GB2312" w:hAnsi="仿宋_GB2312" w:eastAsia="仿宋_GB2312" w:cs="仿宋_GB2312"/>
          <w:sz w:val="32"/>
          <w:szCs w:val="32"/>
        </w:rPr>
        <w:t>和管理创新，</w:t>
      </w:r>
      <w:r>
        <w:rPr>
          <w:rFonts w:hint="eastAsia" w:ascii="仿宋_GB2312" w:hAnsi="仿宋_GB2312" w:eastAsia="仿宋_GB2312" w:cs="仿宋_GB2312"/>
          <w:sz w:val="32"/>
          <w:szCs w:val="32"/>
          <w:lang w:eastAsia="zh-Hans"/>
        </w:rPr>
        <w:t>推动将低碳新技术新工艺融入相关标准，加快低碳创新技术的推广应用。围</w:t>
      </w:r>
      <w:r>
        <w:rPr>
          <w:rFonts w:ascii="Times New Roman" w:hAnsi="Times New Roman" w:eastAsia="仿宋_GB2312"/>
          <w:sz w:val="32"/>
          <w:szCs w:val="32"/>
          <w:lang w:eastAsia="zh-Hans"/>
        </w:rPr>
        <w:t>绕5G、工</w:t>
      </w:r>
      <w:r>
        <w:rPr>
          <w:rFonts w:hint="eastAsia" w:ascii="仿宋_GB2312" w:hAnsi="仿宋_GB2312" w:eastAsia="仿宋_GB2312" w:cs="仿宋_GB2312"/>
          <w:sz w:val="32"/>
          <w:szCs w:val="32"/>
          <w:lang w:eastAsia="zh-Hans"/>
        </w:rPr>
        <w:t>业互联网、人工智能等新一代信息技术在工业低碳领域的应用创新，加快相关标准的研制，以数字化、智能化赋能绿色化，培育壮大低碳发展的新动能。</w:t>
      </w:r>
    </w:p>
    <w:p>
      <w:pPr>
        <w:spacing w:before="31" w:after="31" w:line="360" w:lineRule="auto"/>
        <w:ind w:firstLine="640"/>
        <w:rPr>
          <w:rFonts w:ascii="仿宋_GB2312" w:hAnsi="仿宋_GB2312" w:eastAsia="仿宋_GB2312" w:cs="仿宋_GB2312"/>
          <w:sz w:val="32"/>
          <w:szCs w:val="32"/>
        </w:rPr>
      </w:pPr>
      <w:r>
        <w:rPr>
          <w:rFonts w:hint="eastAsia" w:ascii="Times New Roman" w:hAnsi="Times New Roman" w:eastAsia="楷体"/>
          <w:sz w:val="32"/>
          <w:szCs w:val="32"/>
          <w:lang w:eastAsia="zh-Hans"/>
        </w:rPr>
        <w:t>——</w:t>
      </w:r>
      <w:r>
        <w:rPr>
          <w:rFonts w:hint="eastAsia" w:ascii="楷体_GB2312" w:hAnsi="楷体_GB2312" w:eastAsia="楷体_GB2312" w:cs="楷体_GB2312"/>
          <w:sz w:val="32"/>
          <w:szCs w:val="32"/>
          <w:lang w:eastAsia="zh-Hans"/>
        </w:rPr>
        <w:t>开放共享、国际接轨。</w:t>
      </w:r>
      <w:r>
        <w:rPr>
          <w:rFonts w:hint="eastAsia" w:ascii="仿宋_GB2312" w:hAnsi="仿宋_GB2312" w:eastAsia="仿宋_GB2312" w:cs="仿宋_GB2312"/>
          <w:sz w:val="32"/>
          <w:szCs w:val="32"/>
        </w:rPr>
        <w:t>结合我国工业领域的发展实际，</w:t>
      </w:r>
      <w:r>
        <w:rPr>
          <w:rFonts w:hint="eastAsia" w:ascii="仿宋_GB2312" w:hAnsi="仿宋_GB2312" w:eastAsia="仿宋_GB2312" w:cs="仿宋_GB2312"/>
          <w:sz w:val="32"/>
          <w:szCs w:val="32"/>
          <w:lang w:eastAsia="zh-Hans"/>
        </w:rPr>
        <w:t>积极</w:t>
      </w:r>
      <w:r>
        <w:rPr>
          <w:rFonts w:hint="eastAsia" w:ascii="仿宋_GB2312" w:hAnsi="仿宋_GB2312" w:eastAsia="仿宋_GB2312" w:cs="仿宋_GB2312"/>
          <w:sz w:val="32"/>
          <w:szCs w:val="32"/>
        </w:rPr>
        <w:t>参考</w:t>
      </w:r>
      <w:r>
        <w:rPr>
          <w:rFonts w:hint="eastAsia" w:ascii="仿宋_GB2312" w:hAnsi="仿宋_GB2312" w:eastAsia="仿宋_GB2312" w:cs="仿宋_GB2312"/>
          <w:sz w:val="32"/>
          <w:szCs w:val="32"/>
          <w:lang w:eastAsia="zh-Hans"/>
        </w:rPr>
        <w:t>和</w:t>
      </w:r>
      <w:r>
        <w:rPr>
          <w:rFonts w:hint="eastAsia" w:ascii="仿宋_GB2312" w:hAnsi="仿宋_GB2312" w:eastAsia="仿宋_GB2312" w:cs="仿宋_GB2312"/>
          <w:sz w:val="32"/>
          <w:szCs w:val="32"/>
        </w:rPr>
        <w:t>借鉴国际应对气候变化</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方面的标准化工作基础和发展趋势，</w:t>
      </w:r>
      <w:r>
        <w:rPr>
          <w:rFonts w:hint="eastAsia" w:ascii="仿宋_GB2312" w:hAnsi="仿宋_GB2312" w:eastAsia="仿宋_GB2312" w:cs="仿宋_GB2312"/>
          <w:sz w:val="32"/>
          <w:szCs w:val="32"/>
          <w:lang w:eastAsia="zh-Hans"/>
        </w:rPr>
        <w:t>不断提升</w:t>
      </w:r>
      <w:r>
        <w:rPr>
          <w:rFonts w:hint="eastAsia" w:ascii="仿宋_GB2312" w:hAnsi="仿宋_GB2312" w:eastAsia="仿宋_GB2312" w:cs="仿宋_GB2312"/>
          <w:sz w:val="32"/>
          <w:szCs w:val="32"/>
        </w:rPr>
        <w:t>我国低碳标准</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国际化水平。</w:t>
      </w:r>
      <w:r>
        <w:rPr>
          <w:rFonts w:hint="eastAsia" w:ascii="仿宋_GB2312" w:hAnsi="仿宋_GB2312" w:eastAsia="仿宋_GB2312" w:cs="仿宋_GB2312"/>
          <w:sz w:val="32"/>
          <w:szCs w:val="32"/>
          <w:lang w:eastAsia="zh-Hans"/>
        </w:rPr>
        <w:t>加强国内外碳达峰碳中和相关标准化工作的交流与合作，深度参与全球低碳标准制定，积极贡献中国的技术标准方案和实践经验。</w:t>
      </w:r>
    </w:p>
    <w:p>
      <w:pPr>
        <w:pStyle w:val="2"/>
        <w:spacing w:line="360" w:lineRule="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    </w:t>
      </w:r>
      <w:bookmarkStart w:id="28" w:name="_Toc124149046"/>
      <w:r>
        <w:rPr>
          <w:rFonts w:hint="eastAsia" w:ascii="楷体_GB2312" w:hAnsi="楷体_GB2312" w:eastAsia="楷体_GB2312" w:cs="楷体_GB2312"/>
          <w:b w:val="0"/>
          <w:bCs w:val="0"/>
          <w:sz w:val="32"/>
          <w:szCs w:val="32"/>
        </w:rPr>
        <w:t>（三）建设目标</w:t>
      </w:r>
      <w:bookmarkEnd w:id="28"/>
    </w:p>
    <w:p>
      <w:pPr>
        <w:pStyle w:val="31"/>
        <w:ind w:firstLine="640"/>
        <w:jc w:val="both"/>
        <w:rPr>
          <w:rFonts w:ascii="仿宋_GB2312" w:hAnsi="仿宋_GB2312" w:eastAsia="仿宋_GB2312" w:cs="仿宋_GB2312"/>
          <w:kern w:val="2"/>
          <w:sz w:val="32"/>
          <w:szCs w:val="32"/>
        </w:rPr>
      </w:pPr>
      <w:r>
        <w:rPr>
          <w:rFonts w:eastAsia="仿宋_GB2312"/>
          <w:kern w:val="2"/>
          <w:sz w:val="32"/>
          <w:szCs w:val="32"/>
        </w:rPr>
        <w:t>到2025年，工业领域碳达峰碳中和标准体系</w:t>
      </w:r>
      <w:r>
        <w:rPr>
          <w:rFonts w:hint="eastAsia" w:eastAsia="仿宋_GB2312"/>
          <w:kern w:val="2"/>
          <w:sz w:val="32"/>
          <w:szCs w:val="32"/>
        </w:rPr>
        <w:t>基本建立。</w:t>
      </w:r>
      <w:r>
        <w:rPr>
          <w:rFonts w:eastAsia="仿宋_GB2312"/>
          <w:kern w:val="2"/>
          <w:sz w:val="32"/>
          <w:szCs w:val="32"/>
        </w:rPr>
        <w:t>针对低碳技术发展现状、未来发展趋势以及工业领域行业发展需求，制定200项以上碳达峰急需标准</w:t>
      </w:r>
      <w:r>
        <w:rPr>
          <w:rFonts w:hint="eastAsia" w:eastAsia="仿宋_GB2312"/>
          <w:kern w:val="2"/>
          <w:sz w:val="32"/>
          <w:szCs w:val="32"/>
        </w:rPr>
        <w:t>。</w:t>
      </w:r>
      <w:r>
        <w:rPr>
          <w:rFonts w:eastAsia="仿宋_GB2312"/>
          <w:kern w:val="2"/>
          <w:sz w:val="32"/>
          <w:szCs w:val="32"/>
        </w:rPr>
        <w:t>重点制定基础通用、核算</w:t>
      </w:r>
      <w:r>
        <w:rPr>
          <w:rFonts w:hint="eastAsia" w:eastAsia="仿宋_GB2312"/>
          <w:kern w:val="2"/>
          <w:sz w:val="32"/>
          <w:szCs w:val="32"/>
        </w:rPr>
        <w:t>与</w:t>
      </w:r>
      <w:r>
        <w:rPr>
          <w:rFonts w:eastAsia="仿宋_GB2312"/>
          <w:kern w:val="2"/>
          <w:sz w:val="32"/>
          <w:szCs w:val="32"/>
        </w:rPr>
        <w:t>核查、低碳技术与装备等领域标准，为工业领域开展碳评</w:t>
      </w:r>
      <w:r>
        <w:rPr>
          <w:rFonts w:hint="eastAsia" w:ascii="仿宋_GB2312" w:hAnsi="仿宋_GB2312" w:eastAsia="仿宋_GB2312" w:cs="仿宋_GB2312"/>
          <w:kern w:val="2"/>
          <w:sz w:val="32"/>
          <w:szCs w:val="32"/>
        </w:rPr>
        <w:t>估、降低碳排放等提供技术支撑</w:t>
      </w:r>
      <w:r>
        <w:rPr>
          <w:rFonts w:hint="eastAsia" w:eastAsia="仿宋_GB2312"/>
          <w:kern w:val="2"/>
          <w:sz w:val="32"/>
          <w:szCs w:val="32"/>
        </w:rPr>
        <w:t>。</w:t>
      </w:r>
      <w:r>
        <w:rPr>
          <w:rFonts w:eastAsia="仿宋_GB2312"/>
          <w:kern w:val="2"/>
          <w:sz w:val="32"/>
          <w:szCs w:val="32"/>
        </w:rPr>
        <w:t>加快</w:t>
      </w:r>
      <w:r>
        <w:rPr>
          <w:rFonts w:hint="eastAsia" w:eastAsia="仿宋_GB2312"/>
          <w:kern w:val="2"/>
          <w:sz w:val="32"/>
          <w:szCs w:val="32"/>
        </w:rPr>
        <w:t>研制</w:t>
      </w:r>
      <w:r>
        <w:rPr>
          <w:rFonts w:eastAsia="仿宋_GB2312"/>
          <w:kern w:val="2"/>
          <w:sz w:val="32"/>
          <w:szCs w:val="32"/>
        </w:rPr>
        <w:t>碳排放管理</w:t>
      </w:r>
      <w:r>
        <w:rPr>
          <w:rFonts w:hint="eastAsia" w:eastAsia="仿宋_GB2312"/>
          <w:kern w:val="2"/>
          <w:sz w:val="32"/>
          <w:szCs w:val="32"/>
        </w:rPr>
        <w:t>与</w:t>
      </w:r>
      <w:r>
        <w:rPr>
          <w:rFonts w:eastAsia="仿宋_GB2312"/>
          <w:kern w:val="2"/>
          <w:sz w:val="32"/>
          <w:szCs w:val="32"/>
        </w:rPr>
        <w:t>评价类标准，</w:t>
      </w:r>
      <w:r>
        <w:rPr>
          <w:rFonts w:hint="eastAsia" w:ascii="仿宋_GB2312" w:hAnsi="仿宋_GB2312" w:eastAsia="仿宋_GB2312" w:cs="仿宋_GB2312"/>
          <w:kern w:val="2"/>
          <w:sz w:val="32"/>
          <w:szCs w:val="32"/>
        </w:rPr>
        <w:t>推动工业领域深度减碳，引导相关产业低碳高质量发展。</w:t>
      </w:r>
    </w:p>
    <w:p>
      <w:pPr>
        <w:pStyle w:val="2"/>
        <w:adjustRightInd w:val="0"/>
        <w:snapToGrid w:val="0"/>
        <w:spacing w:line="240" w:lineRule="auto"/>
        <w:ind w:firstLine="637" w:firstLineChars="177"/>
        <w:rPr>
          <w:sz w:val="32"/>
        </w:rPr>
      </w:pPr>
      <w:bookmarkStart w:id="29" w:name="_Toc124149047"/>
      <w:bookmarkStart w:id="30" w:name="_Toc81834141"/>
      <w:r>
        <w:rPr>
          <w:rFonts w:hint="eastAsia" w:eastAsia="黑体"/>
          <w:b w:val="0"/>
          <w:bCs w:val="0"/>
          <w:sz w:val="36"/>
          <w:szCs w:val="36"/>
        </w:rPr>
        <w:t>二</w:t>
      </w:r>
      <w:r>
        <w:rPr>
          <w:rFonts w:eastAsia="黑体"/>
          <w:b w:val="0"/>
          <w:bCs w:val="0"/>
          <w:sz w:val="36"/>
          <w:szCs w:val="36"/>
        </w:rPr>
        <w:t>、</w:t>
      </w:r>
      <w:r>
        <w:rPr>
          <w:rFonts w:hint="eastAsia" w:eastAsia="黑体"/>
          <w:b w:val="0"/>
          <w:bCs w:val="0"/>
          <w:sz w:val="36"/>
          <w:szCs w:val="36"/>
        </w:rPr>
        <w:t>建设方案</w:t>
      </w:r>
      <w:bookmarkEnd w:id="29"/>
      <w:bookmarkEnd w:id="30"/>
    </w:p>
    <w:p>
      <w:pPr>
        <w:pStyle w:val="2"/>
        <w:spacing w:line="240" w:lineRule="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    </w:t>
      </w:r>
      <w:bookmarkStart w:id="31" w:name="_Toc490235559"/>
      <w:bookmarkStart w:id="32" w:name="_Toc39420670"/>
      <w:bookmarkStart w:id="33" w:name="_Toc436730909"/>
      <w:bookmarkStart w:id="34" w:name="_Toc40705475"/>
      <w:bookmarkStart w:id="35" w:name="_Toc81834142"/>
      <w:bookmarkStart w:id="36" w:name="_Toc124149048"/>
      <w:r>
        <w:rPr>
          <w:rFonts w:hint="eastAsia" w:ascii="楷体_GB2312" w:hAnsi="楷体_GB2312" w:eastAsia="楷体_GB2312" w:cs="楷体_GB2312"/>
          <w:b w:val="0"/>
          <w:bCs w:val="0"/>
          <w:sz w:val="32"/>
          <w:szCs w:val="32"/>
        </w:rPr>
        <w:t>（一）</w:t>
      </w:r>
      <w:bookmarkEnd w:id="31"/>
      <w:bookmarkEnd w:id="32"/>
      <w:bookmarkEnd w:id="33"/>
      <w:bookmarkEnd w:id="34"/>
      <w:r>
        <w:rPr>
          <w:rFonts w:hint="eastAsia" w:ascii="楷体_GB2312" w:hAnsi="楷体_GB2312" w:eastAsia="楷体_GB2312" w:cs="楷体_GB2312"/>
          <w:b w:val="0"/>
          <w:bCs w:val="0"/>
          <w:sz w:val="32"/>
          <w:szCs w:val="32"/>
        </w:rPr>
        <w:t>碳达峰碳</w:t>
      </w:r>
      <w:r>
        <w:rPr>
          <w:rFonts w:ascii="楷体_GB2312" w:hAnsi="楷体_GB2312" w:eastAsia="楷体_GB2312" w:cs="楷体_GB2312"/>
          <w:b w:val="0"/>
          <w:bCs w:val="0"/>
          <w:sz w:val="32"/>
          <w:szCs w:val="32"/>
        </w:rPr>
        <w:t>中和</w:t>
      </w:r>
      <w:r>
        <w:rPr>
          <w:rFonts w:hint="eastAsia" w:ascii="楷体_GB2312" w:hAnsi="楷体_GB2312" w:eastAsia="楷体_GB2312" w:cs="楷体_GB2312"/>
          <w:b w:val="0"/>
          <w:bCs w:val="0"/>
          <w:sz w:val="32"/>
          <w:szCs w:val="32"/>
        </w:rPr>
        <w:t>标准体系框架</w:t>
      </w:r>
      <w:bookmarkEnd w:id="35"/>
      <w:bookmarkEnd w:id="36"/>
      <w:bookmarkStart w:id="37" w:name="_Toc466878533"/>
    </w:p>
    <w:p>
      <w:pPr>
        <w:spacing w:before="31" w:after="31" w:line="360" w:lineRule="auto"/>
        <w:ind w:firstLine="640"/>
        <w:rPr>
          <w:rFonts w:ascii="Times New Roman" w:hAnsi="Times New Roman" w:eastAsia="仿宋_GB2312"/>
          <w:sz w:val="32"/>
          <w:szCs w:val="32"/>
        </w:rPr>
      </w:pPr>
      <w:r>
        <w:rPr>
          <w:rFonts w:ascii="Times New Roman" w:hAnsi="Times New Roman" w:eastAsia="仿宋_GB2312"/>
          <w:sz w:val="32"/>
          <w:szCs w:val="32"/>
        </w:rPr>
        <w:t>工业领域碳达峰碳中和标准体系框架包括基础通用、核算</w:t>
      </w:r>
      <w:r>
        <w:rPr>
          <w:rFonts w:hint="eastAsia" w:ascii="Times New Roman" w:hAnsi="Times New Roman" w:eastAsia="仿宋_GB2312"/>
          <w:sz w:val="32"/>
          <w:szCs w:val="32"/>
        </w:rPr>
        <w:t>与</w:t>
      </w:r>
      <w:r>
        <w:rPr>
          <w:rFonts w:ascii="Times New Roman" w:hAnsi="Times New Roman" w:eastAsia="仿宋_GB2312"/>
          <w:sz w:val="32"/>
          <w:szCs w:val="32"/>
        </w:rPr>
        <w:t>核查、技术与装备、监测、管理</w:t>
      </w:r>
      <w:r>
        <w:rPr>
          <w:rFonts w:hint="eastAsia" w:ascii="Times New Roman" w:hAnsi="Times New Roman" w:eastAsia="仿宋_GB2312"/>
          <w:sz w:val="32"/>
          <w:szCs w:val="32"/>
        </w:rPr>
        <w:t>与</w:t>
      </w:r>
      <w:r>
        <w:rPr>
          <w:rFonts w:ascii="Times New Roman" w:hAnsi="Times New Roman" w:eastAsia="仿宋_GB2312"/>
          <w:sz w:val="32"/>
          <w:szCs w:val="32"/>
        </w:rPr>
        <w:t>评价等</w:t>
      </w:r>
      <w:r>
        <w:rPr>
          <w:rFonts w:hint="eastAsia" w:ascii="Times New Roman" w:hAnsi="Times New Roman" w:eastAsia="仿宋_GB2312"/>
          <w:sz w:val="32"/>
          <w:szCs w:val="32"/>
        </w:rPr>
        <w:t>五</w:t>
      </w:r>
      <w:r>
        <w:rPr>
          <w:rFonts w:ascii="Times New Roman" w:hAnsi="Times New Roman" w:eastAsia="仿宋_GB2312"/>
          <w:sz w:val="32"/>
          <w:szCs w:val="32"/>
        </w:rPr>
        <w:t>大类标准，如图1所示。</w:t>
      </w:r>
    </w:p>
    <w:p>
      <w:pPr>
        <w:spacing w:before="31" w:after="31"/>
        <w:ind w:firstLine="640"/>
        <w:rPr>
          <w:rFonts w:ascii="Times New Roman" w:hAnsi="Times New Roman" w:eastAsia="仿宋"/>
          <w:sz w:val="32"/>
          <w:szCs w:val="32"/>
        </w:rPr>
      </w:pPr>
    </w:p>
    <w:p>
      <w:pPr>
        <w:spacing w:before="31" w:after="31"/>
        <w:ind w:firstLine="640"/>
        <w:rPr>
          <w:rFonts w:ascii="Times New Roman" w:hAnsi="Times New Roman" w:eastAsia="仿宋"/>
          <w:sz w:val="32"/>
          <w:szCs w:val="32"/>
        </w:rPr>
        <w:sectPr>
          <w:pgSz w:w="11906" w:h="16838"/>
          <w:pgMar w:top="1440" w:right="1797" w:bottom="1440" w:left="1797" w:header="851" w:footer="992" w:gutter="0"/>
          <w:pgNumType w:start="1"/>
          <w:cols w:space="720" w:num="1"/>
          <w:docGrid w:type="lines" w:linePitch="312" w:charSpace="0"/>
        </w:sectPr>
      </w:pPr>
    </w:p>
    <w:p>
      <w:pPr>
        <w:spacing w:before="31" w:after="31"/>
        <w:ind w:left="141" w:leftChars="67" w:firstLine="0" w:firstLineChars="0"/>
        <w:jc w:val="center"/>
        <w:rPr>
          <w:rFonts w:ascii="仿宋" w:hAnsi="仿宋" w:eastAsia="仿宋"/>
          <w:sz w:val="24"/>
          <w:szCs w:val="28"/>
        </w:rPr>
      </w:pPr>
      <w:r>
        <w:object>
          <v:shape id="_x0000_i1025" o:spt="75" type="#_x0000_t75" style="height:482pt;width:1045.5pt;" o:ole="t" filled="f" o:preferrelative="t" stroked="f" coordsize="21600,21600">
            <v:path/>
            <v:fill on="f" focussize="0,0"/>
            <v:stroke on="f" joinstyle="miter"/>
            <v:imagedata r:id="rId26" o:title=""/>
            <o:lock v:ext="edit" aspectratio="t"/>
            <w10:wrap type="none"/>
            <w10:anchorlock/>
          </v:shape>
          <o:OLEObject Type="Embed" ProgID="Visio.Drawing.15" ShapeID="_x0000_i1025" DrawAspect="Content" ObjectID="_1468075725" r:id="rId25">
            <o:LockedField>false</o:LockedField>
          </o:OLEObject>
        </w:object>
      </w:r>
    </w:p>
    <w:p>
      <w:pPr>
        <w:spacing w:before="156" w:beforeLines="50" w:after="156" w:afterLines="50"/>
        <w:ind w:left="141" w:leftChars="67" w:firstLine="0" w:firstLineChars="0"/>
        <w:jc w:val="left"/>
        <w:rPr>
          <w:rFonts w:ascii="仿宋" w:hAnsi="仿宋" w:eastAsia="仿宋"/>
          <w:sz w:val="24"/>
          <w:szCs w:val="28"/>
        </w:rPr>
      </w:pPr>
      <w:r>
        <w:rPr>
          <w:rFonts w:ascii="仿宋" w:hAnsi="仿宋" w:eastAsia="仿宋"/>
          <w:sz w:val="24"/>
          <w:szCs w:val="28"/>
        </w:rPr>
        <w:t>注</w:t>
      </w:r>
      <w:r>
        <w:rPr>
          <w:rFonts w:hint="eastAsia" w:ascii="仿宋" w:hAnsi="仿宋" w:eastAsia="仿宋"/>
          <w:sz w:val="24"/>
          <w:szCs w:val="28"/>
        </w:rPr>
        <w:t>：“组织”是指为实现目标，由职责、权限和相互关系构成自身功能的一个人或一组人，包括但不限于个体经营者、公司、集团公司、商行、企事业单位、政府机构、合股经营的公司、公益机构、社团，或上述单位中的一部分或结合体，无论其是否有法人资格、公营或私营。  [来源：GB/T 19000-2016，3.2.1，有修改]</w:t>
      </w:r>
    </w:p>
    <w:p>
      <w:pPr>
        <w:spacing w:before="31" w:after="31"/>
        <w:ind w:left="330" w:leftChars="-472" w:hanging="1321" w:hangingChars="472"/>
        <w:jc w:val="center"/>
        <w:rPr>
          <w:rFonts w:ascii="黑体" w:hAnsi="黑体" w:eastAsia="黑体"/>
          <w:sz w:val="28"/>
          <w:szCs w:val="28"/>
        </w:rPr>
      </w:pPr>
      <w:r>
        <w:rPr>
          <w:rFonts w:ascii="黑体" w:hAnsi="黑体" w:eastAsia="黑体"/>
          <w:sz w:val="28"/>
          <w:szCs w:val="28"/>
        </w:rPr>
        <w:t xml:space="preserve">图1 </w:t>
      </w:r>
      <w:r>
        <w:rPr>
          <w:rFonts w:hint="eastAsia" w:ascii="黑体" w:hAnsi="黑体" w:eastAsia="黑体"/>
          <w:sz w:val="28"/>
          <w:szCs w:val="28"/>
        </w:rPr>
        <w:t>工业领域</w:t>
      </w:r>
      <w:r>
        <w:rPr>
          <w:rFonts w:ascii="黑体" w:hAnsi="黑体" w:eastAsia="黑体"/>
          <w:sz w:val="28"/>
          <w:szCs w:val="28"/>
        </w:rPr>
        <w:t>碳达峰</w:t>
      </w:r>
      <w:r>
        <w:rPr>
          <w:rFonts w:hint="eastAsia" w:ascii="黑体" w:hAnsi="黑体" w:eastAsia="黑体"/>
          <w:sz w:val="28"/>
          <w:szCs w:val="28"/>
        </w:rPr>
        <w:t>碳</w:t>
      </w:r>
      <w:r>
        <w:rPr>
          <w:rFonts w:ascii="黑体" w:hAnsi="黑体" w:eastAsia="黑体"/>
          <w:sz w:val="28"/>
          <w:szCs w:val="28"/>
        </w:rPr>
        <w:t>中和标准体系框架</w:t>
      </w:r>
    </w:p>
    <w:p>
      <w:pPr>
        <w:spacing w:before="31" w:after="31"/>
        <w:ind w:firstLine="0" w:firstLineChars="0"/>
        <w:rPr>
          <w:rFonts w:ascii="仿宋" w:hAnsi="仿宋" w:eastAsia="仿宋"/>
          <w:sz w:val="24"/>
          <w:szCs w:val="28"/>
        </w:rPr>
      </w:pPr>
    </w:p>
    <w:bookmarkEnd w:id="37"/>
    <w:p>
      <w:pPr>
        <w:spacing w:before="31" w:after="31"/>
        <w:ind w:firstLine="0" w:firstLineChars="0"/>
        <w:jc w:val="center"/>
        <w:rPr>
          <w:rFonts w:ascii="黑体" w:hAnsi="黑体" w:eastAsia="黑体"/>
          <w:sz w:val="28"/>
          <w:szCs w:val="28"/>
        </w:rPr>
        <w:sectPr>
          <w:pgSz w:w="23814" w:h="16839" w:orient="landscape"/>
          <w:pgMar w:top="1797" w:right="1440" w:bottom="1797" w:left="1440" w:header="851" w:footer="992" w:gutter="0"/>
          <w:cols w:space="720" w:num="1"/>
          <w:docGrid w:type="lines" w:linePitch="312" w:charSpace="0"/>
        </w:sectPr>
      </w:pPr>
    </w:p>
    <w:p>
      <w:pPr>
        <w:pStyle w:val="2"/>
        <w:spacing w:line="360" w:lineRule="auto"/>
        <w:rPr>
          <w:rFonts w:ascii="楷体_GB2312" w:hAnsi="楷体_GB2312" w:eastAsia="楷体_GB2312" w:cs="楷体_GB2312"/>
          <w:b w:val="0"/>
          <w:bCs w:val="0"/>
          <w:sz w:val="32"/>
          <w:szCs w:val="32"/>
        </w:rPr>
      </w:pPr>
      <w:bookmarkStart w:id="38" w:name="_Toc39420676"/>
      <w:bookmarkStart w:id="39" w:name="_Toc39416460"/>
      <w:bookmarkStart w:id="40" w:name="_Toc40705481"/>
      <w:r>
        <w:rPr>
          <w:rFonts w:hint="eastAsia" w:ascii="楷体_GB2312" w:hAnsi="楷体_GB2312" w:eastAsia="楷体_GB2312" w:cs="楷体_GB2312"/>
          <w:b w:val="0"/>
          <w:bCs w:val="0"/>
          <w:sz w:val="32"/>
          <w:szCs w:val="32"/>
        </w:rPr>
        <w:t xml:space="preserve">    </w:t>
      </w:r>
      <w:bookmarkStart w:id="41" w:name="_Toc124149049"/>
      <w:bookmarkStart w:id="42" w:name="_Toc81834143"/>
      <w:r>
        <w:rPr>
          <w:rFonts w:hint="eastAsia" w:ascii="楷体_GB2312" w:hAnsi="楷体_GB2312" w:eastAsia="楷体_GB2312" w:cs="楷体_GB2312"/>
          <w:b w:val="0"/>
          <w:bCs w:val="0"/>
          <w:sz w:val="32"/>
          <w:szCs w:val="32"/>
        </w:rPr>
        <w:t>（二）碳达峰碳</w:t>
      </w:r>
      <w:r>
        <w:rPr>
          <w:rFonts w:ascii="楷体_GB2312" w:hAnsi="楷体_GB2312" w:eastAsia="楷体_GB2312" w:cs="楷体_GB2312"/>
          <w:b w:val="0"/>
          <w:bCs w:val="0"/>
          <w:sz w:val="32"/>
          <w:szCs w:val="32"/>
        </w:rPr>
        <w:t>中和</w:t>
      </w:r>
      <w:r>
        <w:rPr>
          <w:rFonts w:hint="eastAsia" w:ascii="楷体_GB2312" w:hAnsi="楷体_GB2312" w:eastAsia="楷体_GB2312" w:cs="楷体_GB2312"/>
          <w:b w:val="0"/>
          <w:bCs w:val="0"/>
          <w:sz w:val="32"/>
          <w:szCs w:val="32"/>
        </w:rPr>
        <w:t>标准制定重点</w:t>
      </w:r>
      <w:r>
        <w:rPr>
          <w:rFonts w:ascii="楷体_GB2312" w:hAnsi="楷体_GB2312" w:eastAsia="楷体_GB2312" w:cs="楷体_GB2312"/>
          <w:b w:val="0"/>
          <w:bCs w:val="0"/>
          <w:sz w:val="32"/>
          <w:szCs w:val="32"/>
        </w:rPr>
        <w:t>领域</w:t>
      </w:r>
      <w:bookmarkEnd w:id="41"/>
      <w:bookmarkEnd w:id="42"/>
    </w:p>
    <w:p>
      <w:pPr>
        <w:pStyle w:val="3"/>
        <w:spacing w:before="31" w:after="31"/>
        <w:ind w:firstLine="643"/>
        <w:rPr>
          <w:rFonts w:ascii="Times New Roman" w:hAnsi="Times New Roman" w:eastAsia="仿宋" w:cs="Times New Roman"/>
        </w:rPr>
      </w:pPr>
      <w:bookmarkStart w:id="43" w:name="_Toc124149050"/>
      <w:r>
        <w:rPr>
          <w:rFonts w:ascii="Times New Roman" w:hAnsi="Times New Roman" w:eastAsia="仿宋" w:cs="Times New Roman"/>
        </w:rPr>
        <w:t>1.基础通用标准</w:t>
      </w:r>
      <w:bookmarkEnd w:id="43"/>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基础通用标准是指工业领域碳达峰碳中和相关的基础共性标准</w:t>
      </w:r>
      <w:r>
        <w:rPr>
          <w:rFonts w:ascii="Times New Roman" w:hAnsi="Times New Roman" w:eastAsia="仿宋_GB2312"/>
          <w:sz w:val="32"/>
          <w:szCs w:val="32"/>
        </w:rPr>
        <w:t>，包括术语定义、数据质量、标识标志、报告声明与信息披露等4类。</w:t>
      </w:r>
    </w:p>
    <w:p>
      <w:pPr>
        <w:spacing w:before="31" w:after="31"/>
        <w:ind w:firstLine="0" w:firstLineChars="0"/>
        <w:jc w:val="center"/>
      </w:pPr>
      <w:r>
        <w:object>
          <v:shape id="_x0000_i1026" o:spt="75" type="#_x0000_t75" style="height:213pt;width:151pt;" o:ole="t" filled="f" o:preferrelative="t" stroked="f" coordsize="21600,21600">
            <v:path/>
            <v:fill on="f" focussize="0,0"/>
            <v:stroke on="f" joinstyle="miter"/>
            <v:imagedata r:id="rId28" o:title=""/>
            <o:lock v:ext="edit" aspectratio="f"/>
            <w10:wrap type="none"/>
            <w10:anchorlock/>
          </v:shape>
          <o:OLEObject Type="Embed" ProgID="Visio.Drawing.15" ShapeID="_x0000_i1026" DrawAspect="Content" ObjectID="_1468075726" r:id="rId27">
            <o:LockedField>false</o:LockedField>
          </o:OLEObject>
        </w:object>
      </w:r>
    </w:p>
    <w:p>
      <w:pPr>
        <w:spacing w:before="31" w:after="31"/>
        <w:ind w:firstLine="0" w:firstLineChars="0"/>
        <w:jc w:val="center"/>
        <w:rPr>
          <w:rFonts w:ascii="黑体" w:hAnsi="黑体" w:eastAsia="黑体"/>
          <w:sz w:val="28"/>
          <w:szCs w:val="28"/>
        </w:rPr>
      </w:pPr>
      <w:r>
        <w:rPr>
          <w:rFonts w:hint="eastAsia" w:ascii="黑体" w:hAnsi="黑体" w:eastAsia="黑体"/>
          <w:sz w:val="28"/>
          <w:szCs w:val="28"/>
        </w:rPr>
        <w:t>图2 基础</w:t>
      </w:r>
      <w:r>
        <w:rPr>
          <w:rFonts w:ascii="黑体" w:hAnsi="黑体" w:eastAsia="黑体"/>
          <w:sz w:val="28"/>
          <w:szCs w:val="28"/>
        </w:rPr>
        <w:t>通用标准子体系</w:t>
      </w:r>
      <w:r>
        <w:rPr>
          <w:rFonts w:hint="eastAsia" w:ascii="黑体" w:hAnsi="黑体" w:eastAsia="黑体"/>
          <w:sz w:val="28"/>
          <w:szCs w:val="28"/>
        </w:rPr>
        <w:t>框架</w:t>
      </w:r>
    </w:p>
    <w:p>
      <w:pPr>
        <w:spacing w:before="31" w:after="31"/>
        <w:ind w:firstLine="640"/>
        <w:rPr>
          <w:rFonts w:ascii="仿宋_GB2312" w:hAnsi="仿宋_GB2312" w:eastAsia="仿宋_GB2312" w:cs="仿宋_GB2312"/>
          <w:sz w:val="32"/>
          <w:szCs w:val="32"/>
        </w:rPr>
      </w:pPr>
      <w:r>
        <w:rPr>
          <w:rFonts w:hint="eastAsia" w:ascii="Times New Roman" w:hAnsi="Times New Roman" w:eastAsia="仿宋"/>
          <w:sz w:val="32"/>
          <w:szCs w:val="32"/>
        </w:rPr>
        <w:t>（1）</w:t>
      </w:r>
      <w:r>
        <w:rPr>
          <w:rFonts w:hint="eastAsia" w:ascii="仿宋_GB2312" w:hAnsi="仿宋_GB2312" w:eastAsia="仿宋_GB2312" w:cs="仿宋_GB2312"/>
          <w:sz w:val="32"/>
          <w:szCs w:val="32"/>
        </w:rPr>
        <w:t>术语定义标准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主要规范工业领域温室气体活动的相关概念，为其它各部分标准的制定提供支撑，包括温室气体有关基本概念、技术、方法、管理和服务等相关的术语和定义标准。</w:t>
      </w:r>
    </w:p>
    <w:p>
      <w:pPr>
        <w:spacing w:before="31" w:after="31"/>
        <w:ind w:firstLine="640"/>
        <w:rPr>
          <w:rFonts w:ascii="仿宋_GB2312" w:hAnsi="仿宋_GB2312" w:eastAsia="仿宋_GB2312" w:cs="仿宋_GB2312"/>
          <w:sz w:val="32"/>
          <w:szCs w:val="32"/>
        </w:rPr>
      </w:pPr>
      <w:r>
        <w:rPr>
          <w:rFonts w:hint="eastAsia" w:ascii="Times New Roman" w:hAnsi="Times New Roman" w:eastAsia="仿宋"/>
          <w:sz w:val="32"/>
          <w:szCs w:val="32"/>
        </w:rPr>
        <w:t>（2）</w:t>
      </w:r>
      <w:r>
        <w:rPr>
          <w:rFonts w:hint="eastAsia" w:ascii="仿宋_GB2312" w:hAnsi="仿宋_GB2312" w:eastAsia="仿宋_GB2312" w:cs="仿宋_GB2312"/>
          <w:sz w:val="32"/>
          <w:szCs w:val="32"/>
        </w:rPr>
        <w:t>数据质量标准</w:t>
      </w:r>
    </w:p>
    <w:p>
      <w:pPr>
        <w:spacing w:before="31" w:after="31"/>
        <w:ind w:firstLine="640"/>
        <w:rPr>
          <w:rFonts w:ascii="Times New Roman" w:hAnsi="Times New Roman" w:eastAsia="仿宋"/>
          <w:sz w:val="32"/>
          <w:szCs w:val="32"/>
        </w:rPr>
      </w:pPr>
      <w:r>
        <w:rPr>
          <w:rFonts w:hint="eastAsia" w:ascii="仿宋_GB2312" w:hAnsi="仿宋_GB2312" w:eastAsia="仿宋_GB2312" w:cs="仿宋_GB2312"/>
          <w:sz w:val="32"/>
          <w:szCs w:val="32"/>
        </w:rPr>
        <w:t>主要规范温室气体数据源、数据库、活动数据及排放因子等，为温室气体核算与核查、监测、评价和管理等相关的数据统计分析提供支撑，包括数据统计方法、数据质量管理、数据质量评价等标准。</w:t>
      </w:r>
    </w:p>
    <w:p>
      <w:pPr>
        <w:spacing w:before="31" w:after="31"/>
        <w:ind w:firstLine="640"/>
        <w:rPr>
          <w:rFonts w:ascii="仿宋_GB2312" w:hAnsi="仿宋_GB2312" w:eastAsia="仿宋_GB2312" w:cs="仿宋_GB2312"/>
          <w:sz w:val="32"/>
          <w:szCs w:val="32"/>
        </w:rPr>
      </w:pPr>
      <w:r>
        <w:rPr>
          <w:rFonts w:hint="eastAsia" w:ascii="Times New Roman" w:hAnsi="Times New Roman" w:eastAsia="仿宋"/>
          <w:sz w:val="32"/>
          <w:szCs w:val="32"/>
        </w:rPr>
        <w:t>（3）</w:t>
      </w:r>
      <w:r>
        <w:rPr>
          <w:rFonts w:hint="eastAsia" w:ascii="仿宋_GB2312" w:hAnsi="仿宋_GB2312" w:eastAsia="仿宋_GB2312" w:cs="仿宋_GB2312"/>
          <w:sz w:val="32"/>
          <w:szCs w:val="32"/>
        </w:rPr>
        <w:t>标识标志标准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主要规范温室气体排放量或减排量相关的标识标志、产品碳标签，以及低碳评价相关的标识标志等。</w:t>
      </w:r>
    </w:p>
    <w:p>
      <w:pPr>
        <w:spacing w:before="31" w:after="31"/>
        <w:ind w:firstLine="640"/>
        <w:rPr>
          <w:rFonts w:ascii="仿宋_GB2312" w:hAnsi="仿宋_GB2312" w:eastAsia="仿宋_GB2312" w:cs="仿宋_GB2312"/>
          <w:sz w:val="32"/>
          <w:szCs w:val="32"/>
        </w:rPr>
      </w:pPr>
      <w:r>
        <w:rPr>
          <w:rFonts w:hint="eastAsia" w:ascii="Times New Roman" w:hAnsi="Times New Roman" w:eastAsia="仿宋"/>
          <w:sz w:val="32"/>
          <w:szCs w:val="32"/>
        </w:rPr>
        <w:t>（4）</w:t>
      </w:r>
      <w:r>
        <w:rPr>
          <w:rFonts w:hint="eastAsia" w:ascii="仿宋_GB2312" w:hAnsi="仿宋_GB2312" w:eastAsia="仿宋_GB2312" w:cs="仿宋_GB2312"/>
          <w:sz w:val="32"/>
          <w:szCs w:val="32"/>
        </w:rPr>
        <w:t>报告声明与信息披露标准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主要规范温室气体排放核算、低碳评价等相关的报告声明与信息披露的要求和程序等，包括碳披露导则、环境声明指南、碳排放量及减排量报告声明（信息披露）要求与指南等标准。</w:t>
      </w:r>
    </w:p>
    <w:p>
      <w:pPr>
        <w:pStyle w:val="3"/>
        <w:spacing w:before="31" w:after="31"/>
        <w:ind w:firstLine="643"/>
        <w:rPr>
          <w:rFonts w:ascii="Times New Roman" w:hAnsi="Times New Roman" w:eastAsia="仿宋" w:cs="Times New Roman"/>
        </w:rPr>
      </w:pPr>
      <w:bookmarkStart w:id="44" w:name="_Toc124149051"/>
      <w:r>
        <w:rPr>
          <w:rFonts w:ascii="Times New Roman" w:hAnsi="Times New Roman" w:eastAsia="仿宋" w:cs="Times New Roman"/>
        </w:rPr>
        <w:t>2.核算</w:t>
      </w:r>
      <w:r>
        <w:rPr>
          <w:rFonts w:hint="eastAsia" w:ascii="Times New Roman" w:hAnsi="Times New Roman" w:eastAsia="仿宋" w:cs="Times New Roman"/>
        </w:rPr>
        <w:t>与</w:t>
      </w:r>
      <w:r>
        <w:rPr>
          <w:rFonts w:ascii="Times New Roman" w:hAnsi="Times New Roman" w:eastAsia="仿宋" w:cs="Times New Roman"/>
        </w:rPr>
        <w:t>核查</w:t>
      </w:r>
      <w:r>
        <w:rPr>
          <w:rFonts w:hint="eastAsia" w:ascii="Times New Roman" w:hAnsi="Times New Roman" w:eastAsia="仿宋" w:cs="Times New Roman"/>
        </w:rPr>
        <w:t>标准</w:t>
      </w:r>
      <w:bookmarkEnd w:id="44"/>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核算与核查标准包括组织温室气体排放量核算与核查、项目温室气体减排量核算与核查、产品碳足迹核算与核查、核查机构/人员资质能力要求等相关标准。</w:t>
      </w:r>
      <w:r>
        <w:rPr>
          <w:rFonts w:hint="eastAsia" w:ascii="仿宋_GB2312" w:hAnsi="仿宋_GB2312" w:eastAsia="仿宋_GB2312" w:cs="仿宋_GB2312"/>
          <w:sz w:val="32"/>
          <w:szCs w:val="32"/>
          <w:lang w:eastAsia="zh-Hans"/>
        </w:rPr>
        <w:t>其中，</w:t>
      </w:r>
      <w:r>
        <w:rPr>
          <w:rFonts w:hint="eastAsia" w:ascii="仿宋_GB2312" w:hAnsi="仿宋_GB2312" w:eastAsia="仿宋_GB2312" w:cs="仿宋_GB2312"/>
          <w:sz w:val="32"/>
          <w:szCs w:val="32"/>
        </w:rPr>
        <w:t>核算标准是摸清工业领域各行业温室气体排放底数的重要基础，也是评估温室气体减排量和评价行业、企业、产品</w:t>
      </w:r>
      <w:r>
        <w:rPr>
          <w:rFonts w:hint="eastAsia" w:ascii="仿宋_GB2312" w:hAnsi="仿宋_GB2312" w:eastAsia="仿宋_GB2312" w:cs="仿宋_GB2312"/>
          <w:sz w:val="32"/>
          <w:szCs w:val="32"/>
          <w:lang w:eastAsia="zh-Hans"/>
        </w:rPr>
        <w:t>碳排放</w:t>
      </w:r>
      <w:r>
        <w:rPr>
          <w:rFonts w:hint="eastAsia" w:ascii="仿宋_GB2312" w:hAnsi="仿宋_GB2312" w:eastAsia="仿宋_GB2312" w:cs="仿宋_GB2312"/>
          <w:sz w:val="32"/>
          <w:szCs w:val="32"/>
        </w:rPr>
        <w:t>水平高低的依据。核查标准是为确保核算数据的准确性及真实性，对碳排放核算报告做出统一规范的数据核查。</w:t>
      </w:r>
    </w:p>
    <w:p>
      <w:pPr>
        <w:spacing w:before="31" w:after="31"/>
        <w:ind w:firstLine="0" w:firstLineChars="0"/>
        <w:jc w:val="center"/>
        <w:rPr>
          <w:rFonts w:ascii="Times New Roman" w:hAnsi="Times New Roman" w:eastAsia="仿宋"/>
          <w:sz w:val="32"/>
          <w:szCs w:val="32"/>
        </w:rPr>
      </w:pPr>
      <w:r>
        <w:object>
          <v:shape id="_x0000_i1027" o:spt="75" type="#_x0000_t75" style="height:275.5pt;width:263pt;" o:ole="t" filled="f" o:preferrelative="t" stroked="f" coordsize="21600,21600">
            <v:path/>
            <v:fill on="f" focussize="0,0"/>
            <v:stroke on="f" joinstyle="miter"/>
            <v:imagedata r:id="rId30" o:title=""/>
            <o:lock v:ext="edit" aspectratio="t"/>
            <w10:wrap type="none"/>
            <w10:anchorlock/>
          </v:shape>
          <o:OLEObject Type="Embed" ProgID="Visio.Drawing.15" ShapeID="_x0000_i1027" DrawAspect="Content" ObjectID="_1468075727" r:id="rId29">
            <o:LockedField>false</o:LockedField>
          </o:OLEObject>
        </w:object>
      </w:r>
    </w:p>
    <w:p>
      <w:pPr>
        <w:spacing w:before="31" w:after="31"/>
        <w:ind w:firstLine="0" w:firstLineChars="0"/>
        <w:jc w:val="center"/>
        <w:rPr>
          <w:rFonts w:ascii="黑体" w:hAnsi="黑体" w:eastAsia="黑体"/>
          <w:sz w:val="28"/>
          <w:szCs w:val="28"/>
        </w:rPr>
      </w:pPr>
      <w:r>
        <w:rPr>
          <w:rFonts w:hint="eastAsia" w:ascii="黑体" w:hAnsi="黑体" w:eastAsia="黑体"/>
          <w:sz w:val="28"/>
          <w:szCs w:val="28"/>
        </w:rPr>
        <w:t>图3 核算与</w:t>
      </w:r>
      <w:r>
        <w:rPr>
          <w:rFonts w:ascii="黑体" w:hAnsi="黑体" w:eastAsia="黑体"/>
          <w:sz w:val="28"/>
          <w:szCs w:val="28"/>
        </w:rPr>
        <w:t>核</w:t>
      </w:r>
      <w:r>
        <w:rPr>
          <w:rFonts w:hint="eastAsia" w:ascii="黑体" w:hAnsi="黑体" w:eastAsia="黑体"/>
          <w:sz w:val="28"/>
          <w:szCs w:val="28"/>
        </w:rPr>
        <w:t>查标准</w:t>
      </w:r>
      <w:r>
        <w:rPr>
          <w:rFonts w:ascii="黑体" w:hAnsi="黑体" w:eastAsia="黑体"/>
          <w:sz w:val="28"/>
          <w:szCs w:val="28"/>
        </w:rPr>
        <w:t>子体系</w:t>
      </w:r>
      <w:r>
        <w:rPr>
          <w:rFonts w:hint="eastAsia" w:ascii="黑体" w:hAnsi="黑体" w:eastAsia="黑体"/>
          <w:sz w:val="28"/>
          <w:szCs w:val="28"/>
        </w:rPr>
        <w:t>框架</w:t>
      </w:r>
    </w:p>
    <w:p>
      <w:pPr>
        <w:spacing w:before="31" w:after="31"/>
        <w:ind w:firstLine="640"/>
        <w:rPr>
          <w:rFonts w:ascii="仿宋_GB2312" w:hAnsi="仿宋_GB2312" w:eastAsia="仿宋_GB2312" w:cs="仿宋_GB2312"/>
          <w:sz w:val="32"/>
          <w:szCs w:val="32"/>
        </w:rPr>
      </w:pPr>
      <w:r>
        <w:rPr>
          <w:rFonts w:hint="eastAsia" w:ascii="Times New Roman" w:hAnsi="Times New Roman" w:eastAsia="仿宋"/>
          <w:bCs/>
          <w:sz w:val="32"/>
          <w:szCs w:val="32"/>
        </w:rPr>
        <w:t>（1）</w:t>
      </w:r>
      <w:r>
        <w:rPr>
          <w:rFonts w:hint="eastAsia" w:ascii="仿宋_GB2312" w:hAnsi="仿宋_GB2312" w:eastAsia="仿宋_GB2312" w:cs="仿宋_GB2312"/>
          <w:sz w:val="32"/>
          <w:szCs w:val="32"/>
        </w:rPr>
        <w:t>温室气体核算标准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根据核算对象和核算边界的不同，分为组织温室气体排放量核算、项目温室气体减排量核算、产品碳足迹核算等。</w:t>
      </w:r>
    </w:p>
    <w:p>
      <w:pPr>
        <w:spacing w:before="31" w:after="31"/>
        <w:ind w:firstLine="643"/>
        <w:rPr>
          <w:rFonts w:ascii="仿宋_GB2312" w:hAnsi="仿宋_GB2312" w:eastAsia="仿宋_GB2312" w:cs="仿宋_GB2312"/>
          <w:sz w:val="32"/>
          <w:szCs w:val="32"/>
        </w:rPr>
      </w:pPr>
      <w:r>
        <w:rPr>
          <w:rFonts w:hint="eastAsia" w:ascii="Times New Roman" w:hAnsi="Times New Roman" w:eastAsia="仿宋"/>
          <w:b/>
          <w:bCs/>
          <w:sz w:val="32"/>
          <w:szCs w:val="32"/>
        </w:rPr>
        <w:t>组织温室气体排放量</w:t>
      </w:r>
      <w:r>
        <w:rPr>
          <w:rFonts w:ascii="Times New Roman" w:hAnsi="Times New Roman" w:eastAsia="仿宋"/>
          <w:b/>
          <w:bCs/>
          <w:sz w:val="32"/>
          <w:szCs w:val="32"/>
        </w:rPr>
        <w:t>核算标准</w:t>
      </w:r>
      <w:r>
        <w:rPr>
          <w:rFonts w:hint="eastAsia" w:ascii="仿宋_GB2312" w:hAnsi="仿宋_GB2312" w:eastAsia="仿宋_GB2312" w:cs="仿宋_GB2312"/>
          <w:sz w:val="32"/>
          <w:szCs w:val="32"/>
        </w:rPr>
        <w:t>主要包括工序/单元、企业、园区等组织层面的温室气体排放量核算标准。其中，在工序/单元层面，重点针对温室气体排放量占全流程排放量比例较高的工序或单元制定温室气体排放量核算标准；在企业和园区层面，重点针对工业生产中直接能源消耗量大、电力热力等间接能源消耗量大、生产过程温室气体排放量大的企业和园区制定温室气体排放量核算标准。</w:t>
      </w:r>
    </w:p>
    <w:p>
      <w:pPr>
        <w:spacing w:before="31" w:after="31"/>
        <w:ind w:firstLine="643"/>
        <w:rPr>
          <w:rFonts w:ascii="仿宋_GB2312" w:hAnsi="仿宋_GB2312" w:eastAsia="仿宋_GB2312" w:cs="仿宋_GB2312"/>
          <w:sz w:val="32"/>
          <w:szCs w:val="32"/>
        </w:rPr>
      </w:pPr>
      <w:r>
        <w:rPr>
          <w:rFonts w:hint="eastAsia" w:ascii="Times New Roman" w:hAnsi="Times New Roman" w:eastAsia="仿宋"/>
          <w:b/>
          <w:bCs/>
          <w:sz w:val="32"/>
          <w:szCs w:val="32"/>
        </w:rPr>
        <w:t>项目温室气体减排量核算标准</w:t>
      </w:r>
      <w:r>
        <w:rPr>
          <w:rFonts w:hint="eastAsia" w:ascii="仿宋_GB2312" w:hAnsi="仿宋_GB2312" w:eastAsia="仿宋_GB2312" w:cs="仿宋_GB2312"/>
          <w:sz w:val="32"/>
          <w:szCs w:val="32"/>
        </w:rPr>
        <w:t>主要规范项目层面的温室气体排放量的基准选取、核算方法、核算范围、排放因子等，包括温室气体减排量评估通用要求、基于具体项目的温室气体减排量评估技术规范等标准。重点针对储能及余能回收利用、资源综合利用、原/燃料替代等具有显著节能降耗效果、能大幅减少温室气体排放量的项目制定温室气体减排量核算标准。</w:t>
      </w:r>
    </w:p>
    <w:p>
      <w:pPr>
        <w:spacing w:before="31" w:after="31"/>
        <w:ind w:firstLine="643"/>
        <w:rPr>
          <w:rFonts w:ascii="仿宋_GB2312" w:hAnsi="仿宋_GB2312" w:eastAsia="仿宋_GB2312" w:cs="仿宋_GB2312"/>
          <w:sz w:val="32"/>
          <w:szCs w:val="32"/>
        </w:rPr>
      </w:pPr>
      <w:r>
        <w:rPr>
          <w:rFonts w:hint="eastAsia" w:ascii="Times New Roman" w:hAnsi="Times New Roman" w:eastAsia="仿宋"/>
          <w:b/>
          <w:bCs/>
          <w:sz w:val="32"/>
          <w:szCs w:val="32"/>
        </w:rPr>
        <w:t>产品碳足迹核算标准</w:t>
      </w:r>
      <w:r>
        <w:rPr>
          <w:rFonts w:hint="eastAsia" w:ascii="仿宋_GB2312" w:hAnsi="仿宋_GB2312" w:eastAsia="仿宋_GB2312" w:cs="仿宋_GB2312"/>
          <w:sz w:val="32"/>
          <w:szCs w:val="32"/>
        </w:rPr>
        <w:t>主要规范工业产品在其生命周期内直接和间接排放的温室气体总量的核算，包括产品种类规则、碳足迹评估等标准。重点针对量大面广、或生命周期内碳排放强度高的典型工业产品制定碳足迹核算标准。</w:t>
      </w:r>
    </w:p>
    <w:p>
      <w:pPr>
        <w:spacing w:before="31" w:after="31"/>
        <w:ind w:firstLine="640"/>
        <w:rPr>
          <w:rFonts w:ascii="仿宋_GB2312" w:hAnsi="仿宋_GB2312" w:eastAsia="仿宋_GB2312" w:cs="仿宋_GB2312"/>
          <w:sz w:val="32"/>
          <w:szCs w:val="32"/>
        </w:rPr>
      </w:pPr>
      <w:r>
        <w:rPr>
          <w:rFonts w:hint="eastAsia" w:ascii="Times New Roman" w:hAnsi="Times New Roman" w:eastAsia="仿宋"/>
          <w:bCs/>
          <w:sz w:val="32"/>
          <w:szCs w:val="32"/>
        </w:rPr>
        <w:t>（2）</w:t>
      </w:r>
      <w:r>
        <w:rPr>
          <w:rFonts w:hint="eastAsia" w:ascii="仿宋_GB2312" w:hAnsi="仿宋_GB2312" w:eastAsia="仿宋_GB2312" w:cs="仿宋_GB2312"/>
          <w:sz w:val="32"/>
          <w:szCs w:val="32"/>
        </w:rPr>
        <w:t>温室气体核查标准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是包括组织温室气体排放量核查、项目温室气体减排量核查、产品碳足迹核查，以及温室气体机构/人员核查资质能力要求等。其中，组织温室气体排放量核查、项目温室气体减排量核查、产品碳足迹核查标准主要规范对相关温室气体核算结果的核查原则、核查依据、核查程序、核查报告要求等内容。温室气体机构/人员核查资质能力要求主要规范核查机构、团队和人员的资质和能力要求等。</w:t>
      </w:r>
    </w:p>
    <w:p>
      <w:pPr>
        <w:pStyle w:val="3"/>
        <w:spacing w:before="31" w:after="31"/>
        <w:ind w:firstLine="643"/>
        <w:rPr>
          <w:rFonts w:ascii="Times New Roman" w:hAnsi="Times New Roman" w:eastAsia="仿宋" w:cs="Times New Roman"/>
        </w:rPr>
      </w:pPr>
      <w:bookmarkStart w:id="45" w:name="_Toc124149052"/>
      <w:r>
        <w:rPr>
          <w:rFonts w:ascii="Times New Roman" w:hAnsi="Times New Roman" w:eastAsia="仿宋" w:cs="Times New Roman"/>
        </w:rPr>
        <w:t>3.技术</w:t>
      </w:r>
      <w:r>
        <w:rPr>
          <w:rFonts w:hint="eastAsia" w:ascii="Times New Roman" w:hAnsi="Times New Roman" w:eastAsia="仿宋" w:cs="Times New Roman"/>
        </w:rPr>
        <w:t>与</w:t>
      </w:r>
      <w:r>
        <w:rPr>
          <w:rFonts w:ascii="Times New Roman" w:hAnsi="Times New Roman" w:eastAsia="仿宋" w:cs="Times New Roman"/>
        </w:rPr>
        <w:t>装备</w:t>
      </w:r>
      <w:r>
        <w:rPr>
          <w:rFonts w:hint="eastAsia" w:ascii="Times New Roman" w:hAnsi="Times New Roman" w:eastAsia="仿宋" w:cs="Times New Roman"/>
        </w:rPr>
        <w:t>标准</w:t>
      </w:r>
      <w:bookmarkEnd w:id="45"/>
    </w:p>
    <w:p>
      <w:pPr>
        <w:spacing w:before="31" w:after="31" w:line="360" w:lineRule="auto"/>
        <w:ind w:firstLine="640"/>
        <w:rPr>
          <w:rFonts w:ascii="Times New Roman" w:hAnsi="Times New Roman" w:eastAsia="仿宋_GB2312"/>
          <w:sz w:val="32"/>
          <w:szCs w:val="32"/>
        </w:rPr>
      </w:pPr>
      <w:r>
        <w:rPr>
          <w:rFonts w:ascii="Times New Roman" w:hAnsi="Times New Roman" w:eastAsia="仿宋_GB2312"/>
          <w:sz w:val="32"/>
          <w:szCs w:val="32"/>
        </w:rPr>
        <w:t>主要指能够有效降低工业领域温室气体排放的相关技术和装备标准，包括温室气体的源头控制、生产过程控制、末端治理，以及协同降碳等4类。</w:t>
      </w:r>
    </w:p>
    <w:p>
      <w:pPr>
        <w:spacing w:before="31" w:after="31"/>
        <w:ind w:firstLine="0" w:firstLineChars="0"/>
        <w:jc w:val="center"/>
        <w:rPr>
          <w:rFonts w:ascii="黑体" w:hAnsi="黑体" w:eastAsia="黑体"/>
          <w:sz w:val="28"/>
          <w:szCs w:val="28"/>
        </w:rPr>
      </w:pPr>
      <w:r>
        <w:object>
          <v:shape id="_x0000_i1028" o:spt="75" type="#_x0000_t75" style="height:330.5pt;width:415pt;" o:ole="t" filled="f" o:preferrelative="t" stroked="f" coordsize="21600,21600">
            <v:path/>
            <v:fill on="f" focussize="0,0"/>
            <v:stroke on="f" joinstyle="miter"/>
            <v:imagedata r:id="rId32" o:title=""/>
            <o:lock v:ext="edit" aspectratio="t"/>
            <w10:wrap type="none"/>
            <w10:anchorlock/>
          </v:shape>
          <o:OLEObject Type="Embed" ProgID="Visio.Drawing.15" ShapeID="_x0000_i1028" DrawAspect="Content" ObjectID="_1468075728" r:id="rId31">
            <o:LockedField>false</o:LockedField>
          </o:OLEObject>
        </w:object>
      </w:r>
    </w:p>
    <w:p>
      <w:pPr>
        <w:spacing w:before="31" w:after="31"/>
        <w:ind w:firstLine="0" w:firstLineChars="0"/>
        <w:jc w:val="center"/>
        <w:rPr>
          <w:rFonts w:ascii="黑体" w:hAnsi="黑体" w:eastAsia="黑体"/>
          <w:sz w:val="28"/>
          <w:szCs w:val="28"/>
        </w:rPr>
      </w:pPr>
      <w:r>
        <w:rPr>
          <w:rFonts w:hint="eastAsia" w:ascii="黑体" w:hAnsi="黑体" w:eastAsia="黑体"/>
          <w:sz w:val="28"/>
          <w:szCs w:val="28"/>
        </w:rPr>
        <w:t>图4</w:t>
      </w:r>
      <w:r>
        <w:rPr>
          <w:rFonts w:ascii="黑体" w:hAnsi="黑体" w:eastAsia="黑体"/>
          <w:sz w:val="28"/>
          <w:szCs w:val="28"/>
        </w:rPr>
        <w:t>技术</w:t>
      </w:r>
      <w:r>
        <w:rPr>
          <w:rFonts w:hint="eastAsia" w:ascii="黑体" w:hAnsi="黑体" w:eastAsia="黑体"/>
          <w:sz w:val="28"/>
          <w:szCs w:val="28"/>
        </w:rPr>
        <w:t>与</w:t>
      </w:r>
      <w:r>
        <w:rPr>
          <w:rFonts w:ascii="黑体" w:hAnsi="黑体" w:eastAsia="黑体"/>
          <w:sz w:val="28"/>
          <w:szCs w:val="28"/>
        </w:rPr>
        <w:t>装备</w:t>
      </w:r>
      <w:r>
        <w:rPr>
          <w:rFonts w:hint="eastAsia" w:ascii="黑体" w:hAnsi="黑体" w:eastAsia="黑体"/>
          <w:sz w:val="28"/>
          <w:szCs w:val="28"/>
        </w:rPr>
        <w:t>标准</w:t>
      </w:r>
      <w:r>
        <w:rPr>
          <w:rFonts w:ascii="黑体" w:hAnsi="黑体" w:eastAsia="黑体"/>
          <w:sz w:val="28"/>
          <w:szCs w:val="28"/>
        </w:rPr>
        <w:t>子体系</w:t>
      </w:r>
      <w:r>
        <w:rPr>
          <w:rFonts w:hint="eastAsia" w:ascii="黑体" w:hAnsi="黑体" w:eastAsia="黑体"/>
          <w:sz w:val="28"/>
          <w:szCs w:val="28"/>
        </w:rPr>
        <w:t>框架</w:t>
      </w:r>
    </w:p>
    <w:p>
      <w:pPr>
        <w:spacing w:before="31" w:after="31" w:line="360" w:lineRule="auto"/>
        <w:ind w:firstLine="640"/>
        <w:rPr>
          <w:rFonts w:ascii="仿宋_GB2312" w:hAnsi="仿宋_GB2312" w:eastAsia="仿宋_GB2312" w:cs="仿宋_GB2312"/>
          <w:sz w:val="32"/>
          <w:szCs w:val="32"/>
        </w:rPr>
      </w:pPr>
      <w:bookmarkStart w:id="46" w:name="OLE_LINK1"/>
      <w:r>
        <w:rPr>
          <w:rFonts w:ascii="Times New Roman" w:hAnsi="Times New Roman" w:eastAsia="仿宋_GB2312"/>
          <w:sz w:val="32"/>
          <w:szCs w:val="32"/>
        </w:rPr>
        <w:t>（1）</w:t>
      </w:r>
      <w:r>
        <w:rPr>
          <w:rFonts w:hint="eastAsia" w:ascii="仿宋_GB2312" w:hAnsi="仿宋_GB2312" w:eastAsia="仿宋_GB2312" w:cs="仿宋_GB2312"/>
          <w:sz w:val="32"/>
          <w:szCs w:val="32"/>
        </w:rPr>
        <w:t>源头控制</w:t>
      </w:r>
      <w:bookmarkEnd w:id="46"/>
      <w:r>
        <w:rPr>
          <w:rFonts w:hint="eastAsia" w:ascii="仿宋_GB2312" w:hAnsi="仿宋_GB2312" w:eastAsia="仿宋_GB2312" w:cs="仿宋_GB2312"/>
          <w:sz w:val="32"/>
          <w:szCs w:val="32"/>
        </w:rPr>
        <w:t>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主要是指从源头上预防、避免和减少温室气体排放的相关技术与装备，包括原/燃料替代与</w:t>
      </w:r>
      <w:r>
        <w:rPr>
          <w:rFonts w:ascii="仿宋_GB2312" w:hAnsi="仿宋_GB2312" w:eastAsia="仿宋_GB2312" w:cs="仿宋_GB2312"/>
          <w:sz w:val="32"/>
          <w:szCs w:val="32"/>
        </w:rPr>
        <w:t>可再生能源利用</w:t>
      </w:r>
      <w:r>
        <w:rPr>
          <w:rFonts w:hint="eastAsia" w:ascii="仿宋_GB2312" w:hAnsi="仿宋_GB2312" w:eastAsia="仿宋_GB2312" w:cs="仿宋_GB2312"/>
          <w:sz w:val="32"/>
          <w:szCs w:val="32"/>
        </w:rPr>
        <w:t>、化石能源清洁低碳利用、低碳设计等标准。</w:t>
      </w:r>
    </w:p>
    <w:p>
      <w:pPr>
        <w:spacing w:before="31" w:after="31"/>
        <w:ind w:firstLine="643"/>
        <w:rPr>
          <w:rFonts w:ascii="仿宋_GB2312" w:hAnsi="仿宋_GB2312" w:eastAsia="仿宋_GB2312" w:cs="仿宋_GB2312"/>
          <w:sz w:val="32"/>
          <w:szCs w:val="32"/>
        </w:rPr>
      </w:pPr>
      <w:r>
        <w:rPr>
          <w:rFonts w:hint="eastAsia" w:ascii="Times New Roman" w:hAnsi="Times New Roman" w:eastAsia="仿宋"/>
          <w:b/>
          <w:sz w:val="32"/>
          <w:szCs w:val="32"/>
        </w:rPr>
        <w:t>原/燃料替代与</w:t>
      </w:r>
      <w:r>
        <w:rPr>
          <w:rFonts w:ascii="Times New Roman" w:hAnsi="Times New Roman" w:eastAsia="仿宋"/>
          <w:b/>
          <w:sz w:val="32"/>
          <w:szCs w:val="32"/>
        </w:rPr>
        <w:t>可再生能源利用</w:t>
      </w:r>
      <w:r>
        <w:rPr>
          <w:rFonts w:hint="eastAsia" w:ascii="Times New Roman" w:hAnsi="Times New Roman" w:eastAsia="仿宋"/>
          <w:b/>
          <w:sz w:val="32"/>
          <w:szCs w:val="32"/>
        </w:rPr>
        <w:t>标准</w:t>
      </w:r>
      <w:r>
        <w:rPr>
          <w:rFonts w:hint="eastAsia" w:ascii="仿宋_GB2312" w:hAnsi="仿宋_GB2312" w:eastAsia="仿宋_GB2312" w:cs="仿宋_GB2312"/>
          <w:sz w:val="32"/>
          <w:szCs w:val="32"/>
        </w:rPr>
        <w:t>主要包括低碳、无碳原料的使用和替代、可再生能源及新能源的使用和替代等方面。其中，在原料替代方面，重点制定氢氯氟烃（HCFCs）、氢氟烃（HFCs）类制冷剂替代，非碳酸盐原料替代，再生钢铁原料、再生铜铝原料、再生铅、风电叶片等再生资源利用，冶炼渣、焦油渣、电石渣、铝灰渣、赤泥、尾矿、煤矸石、废塑料、废橡胶等工业固废再利用等技术和装备标准。在燃料替代方面，重点制定生物质燃料替代技术，氢冶金，炉窑氢燃料替代，玻璃熔窑窑炉氢能煅烧、水泥窑窑炉氢能煅烧、燃氢燃气轮机、氢</w:t>
      </w:r>
      <w:r>
        <w:rPr>
          <w:rFonts w:ascii="仿宋_GB2312" w:hAnsi="仿宋_GB2312" w:eastAsia="仿宋_GB2312" w:cs="仿宋_GB2312"/>
          <w:sz w:val="32"/>
          <w:szCs w:val="32"/>
        </w:rPr>
        <w:t>燃料</w:t>
      </w:r>
      <w:r>
        <w:rPr>
          <w:rFonts w:hint="eastAsia" w:ascii="仿宋_GB2312" w:hAnsi="仿宋_GB2312" w:eastAsia="仿宋_GB2312" w:cs="仿宋_GB2312"/>
          <w:sz w:val="32"/>
          <w:szCs w:val="32"/>
        </w:rPr>
        <w:t>内燃机等氢能替代，高排放非道路移动机械（如工程机械、农业机械等）原燃料结构优化，工业电加热炉、工业汽轮机、</w:t>
      </w:r>
      <w:r>
        <w:rPr>
          <w:rFonts w:ascii="仿宋_GB2312" w:hAnsi="仿宋_GB2312" w:eastAsia="仿宋_GB2312" w:cs="仿宋_GB2312"/>
          <w:sz w:val="32"/>
          <w:szCs w:val="32"/>
        </w:rPr>
        <w:t>空气源热泵采暖</w:t>
      </w:r>
      <w:r>
        <w:rPr>
          <w:rFonts w:hint="eastAsia" w:ascii="仿宋_GB2312" w:hAnsi="仿宋_GB2312" w:eastAsia="仿宋_GB2312" w:cs="仿宋_GB2312"/>
          <w:sz w:val="32"/>
          <w:szCs w:val="32"/>
        </w:rPr>
        <w:t>等电气化替代等技术和装备标准。在</w:t>
      </w:r>
      <w:r>
        <w:rPr>
          <w:rFonts w:ascii="仿宋_GB2312" w:hAnsi="仿宋_GB2312" w:eastAsia="仿宋_GB2312" w:cs="仿宋_GB2312"/>
          <w:sz w:val="32"/>
          <w:szCs w:val="32"/>
        </w:rPr>
        <w:t>可再生能源利用方面，重点制定</w:t>
      </w:r>
      <w:r>
        <w:rPr>
          <w:rFonts w:hint="eastAsia" w:ascii="仿宋_GB2312" w:hAnsi="仿宋_GB2312" w:eastAsia="仿宋_GB2312" w:cs="仿宋_GB2312"/>
          <w:sz w:val="32"/>
          <w:szCs w:val="32"/>
        </w:rPr>
        <w:t>太阳能、风能、光热、地热、潮汐能、生物质能等可再生能源开发、输送、储能、利用以及分布式应用等相关技术和装备标准。</w:t>
      </w:r>
    </w:p>
    <w:p>
      <w:pPr>
        <w:spacing w:before="31" w:after="31"/>
        <w:ind w:firstLine="643"/>
      </w:pPr>
      <w:r>
        <w:rPr>
          <w:rFonts w:hint="eastAsia" w:ascii="Times New Roman" w:hAnsi="Times New Roman" w:eastAsia="仿宋"/>
          <w:b/>
          <w:sz w:val="32"/>
          <w:szCs w:val="32"/>
        </w:rPr>
        <w:t>化石</w:t>
      </w:r>
      <w:r>
        <w:rPr>
          <w:rFonts w:ascii="Times New Roman" w:hAnsi="Times New Roman" w:eastAsia="仿宋"/>
          <w:b/>
          <w:sz w:val="32"/>
          <w:szCs w:val="32"/>
        </w:rPr>
        <w:t>能源清洁</w:t>
      </w:r>
      <w:r>
        <w:rPr>
          <w:rFonts w:hint="eastAsia" w:ascii="Times New Roman" w:hAnsi="Times New Roman" w:eastAsia="仿宋"/>
          <w:b/>
          <w:sz w:val="32"/>
          <w:szCs w:val="32"/>
        </w:rPr>
        <w:t>低碳</w:t>
      </w:r>
      <w:r>
        <w:rPr>
          <w:rFonts w:ascii="Times New Roman" w:hAnsi="Times New Roman" w:eastAsia="仿宋"/>
          <w:b/>
          <w:sz w:val="32"/>
          <w:szCs w:val="32"/>
        </w:rPr>
        <w:t>利用</w:t>
      </w:r>
      <w:r>
        <w:rPr>
          <w:rFonts w:hint="eastAsia" w:ascii="Times New Roman" w:hAnsi="Times New Roman" w:eastAsia="仿宋"/>
          <w:b/>
          <w:sz w:val="32"/>
          <w:szCs w:val="32"/>
        </w:rPr>
        <w:t>标准</w:t>
      </w:r>
      <w:r>
        <w:rPr>
          <w:rFonts w:hint="eastAsia" w:ascii="仿宋_GB2312" w:hAnsi="仿宋_GB2312" w:eastAsia="仿宋_GB2312" w:cs="仿宋_GB2312"/>
          <w:sz w:val="32"/>
          <w:szCs w:val="32"/>
        </w:rPr>
        <w:t>主要包括煤炭、石油、天然气等化石能源的清洁高效燃烧，煤基产品的清洁低碳高效利用，煤炭废弃物及资源综合利用，石油天然气清洁低碳运输，汽油、航煤、柴油等石化产品的低碳高效利用等方面。</w:t>
      </w:r>
    </w:p>
    <w:p>
      <w:pPr>
        <w:spacing w:before="31" w:after="31"/>
        <w:ind w:firstLine="643"/>
        <w:rPr>
          <w:rFonts w:ascii="仿宋_GB2312" w:hAnsi="仿宋_GB2312" w:eastAsia="仿宋_GB2312" w:cs="仿宋_GB2312"/>
          <w:sz w:val="32"/>
          <w:szCs w:val="32"/>
        </w:rPr>
      </w:pPr>
      <w:r>
        <w:rPr>
          <w:rFonts w:hint="eastAsia" w:ascii="Times New Roman" w:hAnsi="Times New Roman" w:eastAsia="仿宋"/>
          <w:b/>
          <w:sz w:val="32"/>
          <w:szCs w:val="32"/>
        </w:rPr>
        <w:t>低碳设计标准</w:t>
      </w:r>
      <w:r>
        <w:rPr>
          <w:rFonts w:hint="eastAsia" w:ascii="仿宋_GB2312" w:hAnsi="仿宋_GB2312" w:eastAsia="仿宋_GB2312" w:cs="仿宋_GB2312"/>
          <w:sz w:val="32"/>
          <w:szCs w:val="32"/>
        </w:rPr>
        <w:t>主要指在设计阶段从全生命周期角度对工业产品及其生产过程进行低碳设计，包括产品、工艺、装备、企业、园区等层面的低碳设计标准。重点围绕碳属性突出的产品和工艺制定低碳设计标准。</w:t>
      </w:r>
    </w:p>
    <w:p>
      <w:pPr>
        <w:spacing w:before="31" w:beforeLines="0" w:after="31" w:afterLines="0"/>
        <w:ind w:left="630" w:firstLine="0" w:firstLineChars="0"/>
        <w:rPr>
          <w:rFonts w:ascii="仿宋_GB2312" w:hAnsi="仿宋_GB2312" w:eastAsia="仿宋_GB2312" w:cs="仿宋_GB2312"/>
          <w:sz w:val="32"/>
          <w:szCs w:val="32"/>
        </w:rPr>
      </w:pPr>
      <w:r>
        <w:rPr>
          <w:rFonts w:hint="eastAsia" w:ascii="Times New Roman" w:hAnsi="Times New Roman" w:eastAsia="仿宋"/>
          <w:sz w:val="32"/>
          <w:szCs w:val="32"/>
        </w:rPr>
        <w:t>（2）</w:t>
      </w:r>
      <w:r>
        <w:rPr>
          <w:rFonts w:hint="eastAsia" w:ascii="仿宋_GB2312" w:hAnsi="仿宋_GB2312" w:eastAsia="仿宋_GB2312" w:cs="仿宋_GB2312"/>
          <w:sz w:val="32"/>
          <w:szCs w:val="32"/>
        </w:rPr>
        <w:t>生产过程控制标准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主要是指工业产品在生产过程中有关温室气体排放控制的技术与装备，包括</w:t>
      </w:r>
      <w:r>
        <w:rPr>
          <w:rFonts w:hint="eastAsia" w:ascii="Times New Roman" w:hAnsi="Times New Roman" w:eastAsia="仿宋"/>
          <w:sz w:val="32"/>
          <w:szCs w:val="32"/>
        </w:rPr>
        <w:t>节能提效降碳</w:t>
      </w:r>
      <w:r>
        <w:rPr>
          <w:rFonts w:hint="eastAsia" w:ascii="仿宋_GB2312" w:hAnsi="仿宋_GB2312" w:eastAsia="仿宋_GB2312" w:cs="仿宋_GB2312"/>
          <w:sz w:val="32"/>
          <w:szCs w:val="32"/>
        </w:rPr>
        <w:t>、生产工艺优化等标准。</w:t>
      </w:r>
    </w:p>
    <w:p>
      <w:pPr>
        <w:spacing w:before="31" w:after="31"/>
        <w:ind w:firstLine="643"/>
        <w:rPr>
          <w:rFonts w:ascii="仿宋_GB2312" w:hAnsi="仿宋_GB2312" w:eastAsia="仿宋_GB2312" w:cs="仿宋_GB2312"/>
          <w:sz w:val="32"/>
          <w:szCs w:val="32"/>
        </w:rPr>
      </w:pPr>
      <w:r>
        <w:rPr>
          <w:rFonts w:hint="eastAsia" w:ascii="Times New Roman" w:hAnsi="Times New Roman" w:eastAsia="仿宋"/>
          <w:b/>
          <w:sz w:val="32"/>
          <w:szCs w:val="32"/>
        </w:rPr>
        <w:t>节能提效降碳标准</w:t>
      </w:r>
      <w:r>
        <w:rPr>
          <w:rFonts w:hint="eastAsia" w:ascii="仿宋_GB2312" w:hAnsi="仿宋_GB2312" w:eastAsia="仿宋_GB2312" w:cs="仿宋_GB2312"/>
          <w:sz w:val="32"/>
          <w:szCs w:val="32"/>
        </w:rPr>
        <w:t>主要是指通过能源的高效利用或降低能源消耗，以减少二氧化碳排放为特征的技术与装备标准。重点制定能量系统优化、能源梯级利用、储能及余能回收利用、多效精馏系统提升、全/富氧燃烧、用能设备系统能效提升等相关技术与装备标准。</w:t>
      </w:r>
    </w:p>
    <w:p>
      <w:pPr>
        <w:spacing w:before="31" w:after="31"/>
        <w:ind w:firstLine="643"/>
        <w:rPr>
          <w:rFonts w:ascii="仿宋_GB2312" w:hAnsi="仿宋_GB2312" w:eastAsia="仿宋_GB2312" w:cs="仿宋_GB2312"/>
          <w:sz w:val="32"/>
          <w:szCs w:val="32"/>
        </w:rPr>
      </w:pPr>
      <w:r>
        <w:rPr>
          <w:rFonts w:hint="eastAsia" w:ascii="Times New Roman" w:hAnsi="Times New Roman" w:eastAsia="仿宋"/>
          <w:b/>
          <w:sz w:val="32"/>
          <w:szCs w:val="32"/>
        </w:rPr>
        <w:t>生产工艺优化标准</w:t>
      </w:r>
      <w:r>
        <w:rPr>
          <w:rFonts w:hint="eastAsia" w:ascii="仿宋_GB2312" w:hAnsi="仿宋_GB2312" w:eastAsia="仿宋_GB2312" w:cs="仿宋_GB2312"/>
          <w:sz w:val="32"/>
          <w:szCs w:val="32"/>
        </w:rPr>
        <w:t>主要是指通过改变传统生产工艺流程，或优化现有生产工艺实现降碳的技术与装备标准。重点制定氢冶金、熔融还原炼铁、氧气高炉、短流程电弧炉炼钢、连铸连轧工艺、石化化工过程副产氢气高值利用、原油直接裂解制乙烯、低碳炼化技术、合成气一步法制烯烃、铜锍连续吹炼、液态高铅渣直接还原、高效水泥熟料蓖冷机工艺、浮法玻璃一窑多线技术、陶瓷干法制粉工艺、低能耗高效加氢裂化（改质）技术、可再生能源低成本制氢等技术与装备标准。</w:t>
      </w:r>
    </w:p>
    <w:p>
      <w:pPr>
        <w:spacing w:before="31" w:after="31"/>
        <w:ind w:firstLine="640"/>
        <w:rPr>
          <w:rFonts w:ascii="仿宋_GB2312" w:hAnsi="仿宋_GB2312" w:eastAsia="仿宋_GB2312" w:cs="仿宋_GB2312"/>
          <w:sz w:val="32"/>
          <w:szCs w:val="32"/>
        </w:rPr>
      </w:pPr>
      <w:r>
        <w:rPr>
          <w:rFonts w:ascii="Times New Roman" w:hAnsi="Times New Roman" w:eastAsia="仿宋_GB2312"/>
          <w:sz w:val="32"/>
          <w:szCs w:val="32"/>
        </w:rPr>
        <w:t>（3）末端</w:t>
      </w:r>
      <w:r>
        <w:rPr>
          <w:rFonts w:hint="eastAsia" w:ascii="仿宋_GB2312" w:hAnsi="仿宋_GB2312" w:eastAsia="仿宋_GB2312" w:cs="仿宋_GB2312"/>
          <w:sz w:val="32"/>
          <w:szCs w:val="32"/>
        </w:rPr>
        <w:t>治理标准</w:t>
      </w:r>
    </w:p>
    <w:p>
      <w:pPr>
        <w:spacing w:before="31" w:beforeLines="0" w:after="31" w:afterLines="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主要是指温室气体捕集、利用与封存相关的技术与装备，包括碳捕集利用与封存（CCUS）、直接空气碳捕集（DACS）等方面。重点制定工业领域二氧化碳捕集、分离、资源化利用、封存等技术与装备标准。</w:t>
      </w:r>
    </w:p>
    <w:p>
      <w:pPr>
        <w:spacing w:before="31" w:beforeLines="0" w:after="31" w:afterLines="0"/>
        <w:ind w:firstLine="640"/>
        <w:rPr>
          <w:rFonts w:ascii="Times New Roman" w:hAnsi="Times New Roman" w:eastAsia="仿宋_GB2312"/>
          <w:sz w:val="32"/>
          <w:szCs w:val="32"/>
        </w:rPr>
      </w:pPr>
      <w:bookmarkStart w:id="47" w:name="OLE_LINK2"/>
      <w:r>
        <w:rPr>
          <w:rFonts w:hint="eastAsia" w:ascii="Times New Roman" w:hAnsi="Times New Roman" w:eastAsia="仿宋_GB2312"/>
          <w:sz w:val="32"/>
          <w:szCs w:val="32"/>
        </w:rPr>
        <w:t>（4）协同降碳</w:t>
      </w:r>
      <w:bookmarkEnd w:id="47"/>
      <w:r>
        <w:rPr>
          <w:rFonts w:hint="eastAsia" w:ascii="仿宋_GB2312" w:hAnsi="仿宋_GB2312" w:eastAsia="仿宋_GB2312" w:cs="仿宋_GB2312"/>
          <w:sz w:val="32"/>
          <w:szCs w:val="32"/>
        </w:rPr>
        <w:t>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主要是指通过企业内部协同、上下游协同、产业链协同等方式实现协同降碳的相关技术与装备，包括数字化绿色化协同、减污降碳协同、产业链协同等标准。</w:t>
      </w:r>
    </w:p>
    <w:p>
      <w:pPr>
        <w:spacing w:before="31" w:after="31"/>
        <w:ind w:firstLine="643"/>
        <w:rPr>
          <w:rFonts w:ascii="仿宋_GB2312" w:hAnsi="仿宋_GB2312" w:eastAsia="仿宋_GB2312" w:cs="仿宋_GB2312"/>
          <w:sz w:val="32"/>
          <w:szCs w:val="32"/>
        </w:rPr>
      </w:pPr>
      <w:r>
        <w:rPr>
          <w:rFonts w:hint="eastAsia" w:ascii="Times New Roman" w:hAnsi="Times New Roman" w:eastAsia="仿宋"/>
          <w:b/>
          <w:sz w:val="32"/>
          <w:szCs w:val="32"/>
        </w:rPr>
        <w:t>数字化绿色化协同标准</w:t>
      </w:r>
      <w:r>
        <w:rPr>
          <w:rFonts w:hint="eastAsia" w:ascii="仿宋_GB2312" w:hAnsi="仿宋_GB2312" w:eastAsia="仿宋_GB2312" w:cs="仿宋_GB2312"/>
          <w:sz w:val="32"/>
          <w:szCs w:val="32"/>
        </w:rPr>
        <w:t>主要是指5G、工业互联网、大数据等新一代信息技术在工业绿色化生产中的应用标准，包括智慧能源管控、数字化碳排放管理平台、“工业互联网+能效管理”、智能分析检测等。</w:t>
      </w:r>
    </w:p>
    <w:p>
      <w:pPr>
        <w:spacing w:before="31" w:after="31"/>
        <w:ind w:firstLine="643"/>
        <w:rPr>
          <w:rFonts w:ascii="仿宋_GB2312" w:hAnsi="仿宋_GB2312" w:eastAsia="仿宋_GB2312" w:cs="仿宋_GB2312"/>
          <w:sz w:val="32"/>
          <w:szCs w:val="32"/>
        </w:rPr>
      </w:pPr>
      <w:r>
        <w:rPr>
          <w:rFonts w:hint="eastAsia" w:ascii="Times New Roman" w:hAnsi="Times New Roman" w:eastAsia="仿宋"/>
          <w:b/>
          <w:sz w:val="32"/>
          <w:szCs w:val="32"/>
        </w:rPr>
        <w:t>减污降碳协同标准</w:t>
      </w:r>
      <w:r>
        <w:rPr>
          <w:rFonts w:hint="eastAsia" w:ascii="仿宋_GB2312" w:hAnsi="仿宋_GB2312" w:eastAsia="仿宋_GB2312" w:cs="仿宋_GB2312"/>
          <w:sz w:val="32"/>
          <w:szCs w:val="32"/>
        </w:rPr>
        <w:t>主要是指工业生产过程中污染物与温室气体协同减排相关的技术与装备标准，包括工业尾气、废气、废水、固废、危废等污染物与温室气体的协同控制、综合治理、系统治理等。</w:t>
      </w:r>
    </w:p>
    <w:p>
      <w:pPr>
        <w:spacing w:before="31" w:beforeLines="0" w:after="31" w:afterLines="0"/>
        <w:ind w:firstLine="643"/>
        <w:rPr>
          <w:rFonts w:ascii="仿宋_GB2312" w:hAnsi="仿宋_GB2312" w:eastAsia="仿宋_GB2312" w:cs="仿宋_GB2312"/>
          <w:sz w:val="32"/>
          <w:szCs w:val="32"/>
        </w:rPr>
      </w:pPr>
      <w:r>
        <w:rPr>
          <w:rFonts w:hint="eastAsia" w:ascii="Times New Roman" w:hAnsi="Times New Roman" w:eastAsia="仿宋"/>
          <w:b/>
          <w:sz w:val="32"/>
          <w:szCs w:val="32"/>
        </w:rPr>
        <w:t>产业链协同标准</w:t>
      </w:r>
      <w:r>
        <w:rPr>
          <w:rFonts w:hint="eastAsia" w:ascii="仿宋_GB2312" w:hAnsi="仿宋_GB2312" w:eastAsia="仿宋_GB2312" w:cs="仿宋_GB2312"/>
          <w:sz w:val="32"/>
          <w:szCs w:val="32"/>
        </w:rPr>
        <w:t>主要是指不同产业间强化资源协同利用的相关技术与装备标准，包括液态冶炼渣直接生产岩矿棉，工业</w:t>
      </w:r>
      <w:r>
        <w:rPr>
          <w:rFonts w:ascii="仿宋_GB2312" w:hAnsi="仿宋_GB2312" w:eastAsia="仿宋_GB2312" w:cs="仿宋_GB2312"/>
          <w:sz w:val="32"/>
          <w:szCs w:val="32"/>
        </w:rPr>
        <w:t>副产石膏</w:t>
      </w:r>
      <w:r>
        <w:rPr>
          <w:rFonts w:hint="eastAsia" w:ascii="仿宋_GB2312" w:hAnsi="仿宋_GB2312" w:eastAsia="仿宋_GB2312" w:cs="仿宋_GB2312"/>
          <w:sz w:val="32"/>
          <w:szCs w:val="32"/>
        </w:rPr>
        <w:t>、铝灰渣、赤泥、大修渣等深度处理用于建材，高固废掺量的低碳水泥，全固废胶凝材料，工业炉窑协同处置垃圾衍生燃料、危险废物、污泥，煤气化装置协同处理化工废物，钢化联产，炼化集成，产城融合等。</w:t>
      </w:r>
    </w:p>
    <w:bookmarkEnd w:id="38"/>
    <w:bookmarkEnd w:id="39"/>
    <w:bookmarkEnd w:id="40"/>
    <w:p>
      <w:pPr>
        <w:pStyle w:val="3"/>
        <w:spacing w:before="31" w:after="31"/>
        <w:ind w:firstLine="643"/>
        <w:rPr>
          <w:rFonts w:ascii="Times New Roman" w:hAnsi="Times New Roman" w:eastAsia="仿宋" w:cs="Times New Roman"/>
        </w:rPr>
      </w:pPr>
      <w:bookmarkStart w:id="48" w:name="_Toc81834147"/>
      <w:bookmarkStart w:id="49" w:name="_Toc124149053"/>
      <w:r>
        <w:rPr>
          <w:rFonts w:ascii="Times New Roman" w:hAnsi="Times New Roman" w:eastAsia="仿宋" w:cs="Times New Roman"/>
        </w:rPr>
        <w:t>4</w:t>
      </w:r>
      <w:r>
        <w:rPr>
          <w:rFonts w:hint="eastAsia" w:ascii="Times New Roman" w:hAnsi="Times New Roman" w:eastAsia="仿宋" w:cs="Times New Roman"/>
        </w:rPr>
        <w:t>.监测</w:t>
      </w:r>
      <w:bookmarkEnd w:id="48"/>
      <w:r>
        <w:rPr>
          <w:rFonts w:hint="eastAsia" w:ascii="Times New Roman" w:hAnsi="Times New Roman" w:eastAsia="仿宋" w:cs="Times New Roman"/>
        </w:rPr>
        <w:t>标准</w:t>
      </w:r>
      <w:bookmarkEnd w:id="49"/>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监测标准主要是指能够量化温室气体排放浓度、强度以及其对环境影响的相关检测和监测标准，包括监测技术、监测分析方法、监测设备及系统等3类。</w:t>
      </w:r>
    </w:p>
    <w:p>
      <w:pPr>
        <w:spacing w:before="31" w:after="31"/>
        <w:ind w:firstLine="0" w:firstLineChars="0"/>
        <w:jc w:val="center"/>
        <w:rPr>
          <w:rFonts w:ascii="Times New Roman" w:hAnsi="Times New Roman" w:eastAsia="仿宋"/>
          <w:sz w:val="32"/>
          <w:szCs w:val="32"/>
        </w:rPr>
      </w:pPr>
      <w:r>
        <w:rPr>
          <w:rFonts w:ascii="Times New Roman" w:hAnsi="Times New Roman" w:eastAsia="仿宋"/>
          <w:sz w:val="32"/>
          <w:szCs w:val="32"/>
        </w:rPr>
        <w:object>
          <v:shape id="_x0000_i1029" o:spt="75" type="#_x0000_t75" style="height:337.5pt;width:335.5pt;" o:ole="t" filled="f" o:preferrelative="t" stroked="f" coordsize="21600,21600">
            <v:path/>
            <v:fill on="f" focussize="0,0"/>
            <v:stroke on="f" joinstyle="miter"/>
            <v:imagedata r:id="rId34" o:title=""/>
            <o:lock v:ext="edit" aspectratio="f"/>
            <w10:wrap type="none"/>
            <w10:anchorlock/>
          </v:shape>
          <o:OLEObject Type="Embed" ProgID="Visio.Drawing.15" ShapeID="_x0000_i1029" DrawAspect="Content" ObjectID="_1468075729" r:id="rId33">
            <o:LockedField>false</o:LockedField>
          </o:OLEObject>
        </w:object>
      </w:r>
    </w:p>
    <w:p>
      <w:pPr>
        <w:spacing w:before="31" w:after="31"/>
        <w:ind w:firstLine="0" w:firstLineChars="0"/>
        <w:jc w:val="center"/>
        <w:rPr>
          <w:rFonts w:ascii="黑体" w:hAnsi="黑体" w:eastAsia="黑体"/>
          <w:sz w:val="28"/>
          <w:szCs w:val="28"/>
        </w:rPr>
      </w:pPr>
      <w:r>
        <w:rPr>
          <w:rFonts w:hint="eastAsia" w:ascii="黑体" w:hAnsi="黑体" w:eastAsia="黑体"/>
          <w:sz w:val="28"/>
          <w:szCs w:val="28"/>
        </w:rPr>
        <w:t>图5 监测标准</w:t>
      </w:r>
      <w:r>
        <w:rPr>
          <w:rFonts w:ascii="黑体" w:hAnsi="黑体" w:eastAsia="黑体"/>
          <w:sz w:val="28"/>
          <w:szCs w:val="28"/>
        </w:rPr>
        <w:t>子体系</w:t>
      </w:r>
      <w:r>
        <w:rPr>
          <w:rFonts w:hint="eastAsia" w:ascii="黑体" w:hAnsi="黑体" w:eastAsia="黑体"/>
          <w:sz w:val="28"/>
          <w:szCs w:val="28"/>
        </w:rPr>
        <w:t>框架</w:t>
      </w:r>
    </w:p>
    <w:p>
      <w:pPr>
        <w:spacing w:before="31" w:after="31"/>
        <w:ind w:firstLine="640"/>
        <w:rPr>
          <w:rFonts w:ascii="仿宋_GB2312" w:hAnsi="仿宋_GB2312" w:eastAsia="仿宋_GB2312" w:cs="仿宋_GB2312"/>
          <w:sz w:val="32"/>
          <w:szCs w:val="32"/>
        </w:rPr>
      </w:pPr>
      <w:r>
        <w:rPr>
          <w:rFonts w:hint="eastAsia" w:ascii="Times New Roman" w:hAnsi="Times New Roman" w:eastAsia="仿宋"/>
          <w:sz w:val="32"/>
          <w:szCs w:val="32"/>
        </w:rPr>
        <w:t>（1）</w:t>
      </w:r>
      <w:r>
        <w:rPr>
          <w:rFonts w:hint="eastAsia" w:ascii="仿宋_GB2312" w:hAnsi="仿宋_GB2312" w:eastAsia="仿宋_GB2312" w:cs="仿宋_GB2312"/>
          <w:sz w:val="32"/>
          <w:szCs w:val="32"/>
        </w:rPr>
        <w:t>监测技术标准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主要规范不同层面温室气体的监测方案、布点采样、监测项目与分析方法、量值传递、质量控制、数据处理等内容，包括固定源温室气体监测技术、无组织温室气体监测技术等标准。</w:t>
      </w:r>
    </w:p>
    <w:p>
      <w:pPr>
        <w:spacing w:before="31" w:after="31"/>
        <w:ind w:firstLine="640"/>
        <w:rPr>
          <w:rFonts w:ascii="仿宋_GB2312" w:hAnsi="仿宋_GB2312" w:eastAsia="仿宋_GB2312" w:cs="仿宋_GB2312"/>
          <w:sz w:val="32"/>
          <w:szCs w:val="32"/>
        </w:rPr>
      </w:pPr>
      <w:r>
        <w:rPr>
          <w:rFonts w:hint="eastAsia" w:ascii="Times New Roman" w:hAnsi="Times New Roman" w:eastAsia="仿宋"/>
          <w:sz w:val="32"/>
          <w:szCs w:val="32"/>
        </w:rPr>
        <w:t>（</w:t>
      </w:r>
      <w:r>
        <w:rPr>
          <w:rFonts w:ascii="Times New Roman" w:hAnsi="Times New Roman" w:eastAsia="仿宋"/>
          <w:sz w:val="32"/>
          <w:szCs w:val="32"/>
        </w:rPr>
        <w:t>2</w:t>
      </w:r>
      <w:r>
        <w:rPr>
          <w:rFonts w:hint="eastAsia" w:ascii="Times New Roman" w:hAnsi="Times New Roman" w:eastAsia="仿宋"/>
          <w:sz w:val="32"/>
          <w:szCs w:val="32"/>
        </w:rPr>
        <w:t>）</w:t>
      </w:r>
      <w:r>
        <w:rPr>
          <w:rFonts w:hint="eastAsia" w:ascii="仿宋_GB2312" w:hAnsi="仿宋_GB2312" w:eastAsia="仿宋_GB2312" w:cs="仿宋_GB2312"/>
          <w:sz w:val="32"/>
          <w:szCs w:val="32"/>
        </w:rPr>
        <w:t>监测分析方法标准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主要规范各温室气体监测分析方法所涉及的试剂材料、仪器与设备要求、分析测试条件、测定操作步骤、结果表示等内容，包括原/燃料碳含量测定、温室气体采样/检测、温室气体在线监测等方法标准。</w:t>
      </w:r>
    </w:p>
    <w:p>
      <w:pPr>
        <w:spacing w:before="31" w:after="31"/>
        <w:ind w:firstLine="640"/>
        <w:rPr>
          <w:rFonts w:ascii="仿宋_GB2312" w:hAnsi="仿宋_GB2312" w:eastAsia="仿宋_GB2312" w:cs="仿宋_GB2312"/>
          <w:sz w:val="32"/>
          <w:szCs w:val="32"/>
        </w:rPr>
      </w:pPr>
      <w:r>
        <w:rPr>
          <w:rFonts w:hint="eastAsia" w:ascii="Times New Roman" w:hAnsi="Times New Roman" w:eastAsia="仿宋"/>
          <w:sz w:val="32"/>
          <w:szCs w:val="32"/>
        </w:rPr>
        <w:t>（</w:t>
      </w:r>
      <w:r>
        <w:rPr>
          <w:rFonts w:ascii="Times New Roman" w:hAnsi="Times New Roman" w:eastAsia="仿宋"/>
          <w:sz w:val="32"/>
          <w:szCs w:val="32"/>
        </w:rPr>
        <w:t>3</w:t>
      </w:r>
      <w:r>
        <w:rPr>
          <w:rFonts w:hint="eastAsia" w:ascii="Times New Roman" w:hAnsi="Times New Roman" w:eastAsia="仿宋"/>
          <w:sz w:val="32"/>
          <w:szCs w:val="32"/>
        </w:rPr>
        <w:t>）</w:t>
      </w:r>
      <w:r>
        <w:rPr>
          <w:rFonts w:hint="eastAsia" w:ascii="仿宋_GB2312" w:hAnsi="仿宋_GB2312" w:eastAsia="仿宋_GB2312" w:cs="仿宋_GB2312"/>
          <w:sz w:val="32"/>
          <w:szCs w:val="32"/>
        </w:rPr>
        <w:t>监测设备及系统标准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主要规范温室气体测定范围、性能要求、检验及操作方法、校验设备及系统等内容，包括碳含量测定设备、温室气体采样/检测设备、温室气体在线监测设备及系统等标准。</w:t>
      </w:r>
    </w:p>
    <w:p>
      <w:pPr>
        <w:pStyle w:val="3"/>
        <w:spacing w:before="31" w:after="31"/>
        <w:ind w:firstLine="643"/>
        <w:rPr>
          <w:rFonts w:ascii="Times New Roman" w:hAnsi="Times New Roman" w:eastAsia="仿宋" w:cs="Times New Roman"/>
        </w:rPr>
      </w:pPr>
      <w:bookmarkStart w:id="50" w:name="_Toc124149054"/>
      <w:r>
        <w:rPr>
          <w:rFonts w:ascii="Times New Roman" w:hAnsi="Times New Roman" w:eastAsia="仿宋" w:cs="Times New Roman"/>
        </w:rPr>
        <w:t>5.管理</w:t>
      </w:r>
      <w:r>
        <w:rPr>
          <w:rFonts w:hint="eastAsia" w:ascii="Times New Roman" w:hAnsi="Times New Roman" w:eastAsia="仿宋" w:cs="Times New Roman"/>
        </w:rPr>
        <w:t>与评价标准</w:t>
      </w:r>
      <w:bookmarkEnd w:id="50"/>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管理与评价主要指为实现减碳目标而进行的一系列管理活动与评价。管理与评价标准包括低碳评价、碳排放管理、碳资产管理等</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类。</w:t>
      </w:r>
    </w:p>
    <w:p>
      <w:pPr>
        <w:spacing w:before="31" w:after="31"/>
        <w:ind w:firstLine="0" w:firstLineChars="0"/>
        <w:jc w:val="center"/>
        <w:rPr>
          <w:rFonts w:ascii="黑体" w:hAnsi="黑体" w:eastAsia="黑体"/>
          <w:sz w:val="28"/>
          <w:szCs w:val="28"/>
        </w:rPr>
      </w:pPr>
      <w:r>
        <w:object>
          <v:shape id="_x0000_i1030" o:spt="75" type="#_x0000_t75" style="height:187pt;width:137pt;" o:ole="t" filled="f" o:preferrelative="t" stroked="f" coordsize="21600,21600">
            <v:path/>
            <v:fill on="f" focussize="0,0"/>
            <v:stroke on="f" joinstyle="miter"/>
            <v:imagedata r:id="rId36" o:title=""/>
            <o:lock v:ext="edit" aspectratio="t"/>
            <w10:wrap type="none"/>
            <w10:anchorlock/>
          </v:shape>
          <o:OLEObject Type="Embed" ProgID="Visio.Drawing.15" ShapeID="_x0000_i1030" DrawAspect="Content" ObjectID="_1468075730" r:id="rId35">
            <o:LockedField>false</o:LockedField>
          </o:OLEObject>
        </w:object>
      </w:r>
    </w:p>
    <w:p>
      <w:pPr>
        <w:spacing w:before="31" w:after="31"/>
        <w:ind w:firstLine="0" w:firstLineChars="0"/>
        <w:jc w:val="center"/>
        <w:rPr>
          <w:rFonts w:ascii="黑体" w:hAnsi="黑体" w:eastAsia="黑体"/>
          <w:sz w:val="28"/>
          <w:szCs w:val="28"/>
        </w:rPr>
      </w:pPr>
      <w:r>
        <w:rPr>
          <w:rFonts w:hint="eastAsia" w:ascii="黑体" w:hAnsi="黑体" w:eastAsia="黑体"/>
          <w:sz w:val="28"/>
          <w:szCs w:val="28"/>
        </w:rPr>
        <w:t>图</w:t>
      </w:r>
      <w:r>
        <w:rPr>
          <w:rFonts w:ascii="黑体" w:hAnsi="黑体" w:eastAsia="黑体"/>
          <w:sz w:val="28"/>
          <w:szCs w:val="28"/>
        </w:rPr>
        <w:t>6</w:t>
      </w:r>
      <w:r>
        <w:rPr>
          <w:rFonts w:hint="eastAsia" w:ascii="黑体" w:hAnsi="黑体" w:eastAsia="黑体"/>
          <w:sz w:val="28"/>
          <w:szCs w:val="28"/>
        </w:rPr>
        <w:t xml:space="preserve"> 管理与评价标准</w:t>
      </w:r>
      <w:r>
        <w:rPr>
          <w:rFonts w:ascii="黑体" w:hAnsi="黑体" w:eastAsia="黑体"/>
          <w:sz w:val="28"/>
          <w:szCs w:val="28"/>
        </w:rPr>
        <w:t>子体系</w:t>
      </w:r>
      <w:r>
        <w:rPr>
          <w:rFonts w:hint="eastAsia" w:ascii="黑体" w:hAnsi="黑体" w:eastAsia="黑体"/>
          <w:sz w:val="28"/>
          <w:szCs w:val="28"/>
        </w:rPr>
        <w:t>框架</w:t>
      </w:r>
    </w:p>
    <w:p>
      <w:pPr>
        <w:spacing w:before="31" w:after="31"/>
        <w:ind w:firstLine="640"/>
        <w:rPr>
          <w:rFonts w:ascii="仿宋_GB2312" w:hAnsi="仿宋_GB2312" w:eastAsia="仿宋_GB2312" w:cs="仿宋_GB2312"/>
          <w:sz w:val="32"/>
          <w:szCs w:val="32"/>
        </w:rPr>
      </w:pPr>
      <w:r>
        <w:rPr>
          <w:rFonts w:hint="eastAsia" w:ascii="Times New Roman" w:hAnsi="Times New Roman" w:eastAsia="仿宋"/>
          <w:sz w:val="32"/>
          <w:szCs w:val="32"/>
        </w:rPr>
        <w:t>（</w:t>
      </w:r>
      <w:r>
        <w:rPr>
          <w:rFonts w:ascii="Times New Roman" w:hAnsi="Times New Roman" w:eastAsia="仿宋"/>
          <w:sz w:val="32"/>
          <w:szCs w:val="32"/>
        </w:rPr>
        <w:t>1</w:t>
      </w:r>
      <w:r>
        <w:rPr>
          <w:rFonts w:hint="eastAsia" w:ascii="Times New Roman" w:hAnsi="Times New Roman" w:eastAsia="仿宋"/>
          <w:sz w:val="32"/>
          <w:szCs w:val="32"/>
        </w:rPr>
        <w:t>）低碳评价</w:t>
      </w:r>
      <w:r>
        <w:rPr>
          <w:rFonts w:hint="eastAsia" w:ascii="仿宋_GB2312" w:hAnsi="仿宋_GB2312" w:eastAsia="仿宋_GB2312" w:cs="仿宋_GB2312"/>
          <w:sz w:val="32"/>
          <w:szCs w:val="32"/>
        </w:rPr>
        <w:t>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低碳评价主要是依据特定的评价指标体系和评价方法，对工业产品、企业、园区以及供应链的温室气体排放水平进行的综合评价。主要包括低碳产品评价、低碳企业评价、低碳园区评价，以及低碳供应链评价等标准。重点制定量大面广、能源属性突出的工业产品低碳评价标准，以及钢铁、建材、有色金属、石化、化工等重点碳排放行业的低碳企业评价导则、评价指标体系等标准。 </w:t>
      </w:r>
    </w:p>
    <w:p>
      <w:pPr>
        <w:spacing w:before="31" w:after="31"/>
        <w:ind w:firstLine="640"/>
        <w:rPr>
          <w:rFonts w:ascii="仿宋_GB2312" w:hAnsi="仿宋_GB2312" w:eastAsia="仿宋_GB2312" w:cs="仿宋_GB2312"/>
          <w:sz w:val="32"/>
          <w:szCs w:val="32"/>
        </w:rPr>
      </w:pPr>
      <w:r>
        <w:rPr>
          <w:rFonts w:hint="eastAsia" w:ascii="Times New Roman" w:hAnsi="Times New Roman" w:eastAsia="仿宋"/>
          <w:sz w:val="32"/>
          <w:szCs w:val="32"/>
        </w:rPr>
        <w:t>（</w:t>
      </w:r>
      <w:r>
        <w:rPr>
          <w:rFonts w:ascii="Times New Roman" w:hAnsi="Times New Roman" w:eastAsia="仿宋"/>
          <w:sz w:val="32"/>
          <w:szCs w:val="32"/>
        </w:rPr>
        <w:t>2</w:t>
      </w:r>
      <w:r>
        <w:rPr>
          <w:rFonts w:hint="eastAsia" w:ascii="Times New Roman" w:hAnsi="Times New Roman" w:eastAsia="仿宋"/>
          <w:sz w:val="32"/>
          <w:szCs w:val="32"/>
        </w:rPr>
        <w:t>）</w:t>
      </w:r>
      <w:r>
        <w:rPr>
          <w:rFonts w:hint="eastAsia" w:ascii="仿宋_GB2312" w:hAnsi="仿宋_GB2312" w:eastAsia="仿宋_GB2312" w:cs="仿宋_GB2312"/>
          <w:sz w:val="32"/>
          <w:szCs w:val="32"/>
        </w:rPr>
        <w:t>碳排放管理标准</w:t>
      </w:r>
    </w:p>
    <w:p>
      <w:pPr>
        <w:spacing w:before="31" w:after="31"/>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主要指与碳排放活动相关的管理标准，包括碳排放管理体系、碳排放限额等标准。</w:t>
      </w:r>
      <w:r>
        <w:rPr>
          <w:rFonts w:hint="eastAsia" w:ascii="Times New Roman" w:hAnsi="Times New Roman" w:eastAsia="仿宋"/>
          <w:sz w:val="32"/>
          <w:szCs w:val="32"/>
        </w:rPr>
        <w:t>碳排放管理体系标准</w:t>
      </w:r>
      <w:r>
        <w:rPr>
          <w:rFonts w:hint="eastAsia" w:ascii="仿宋_GB2312" w:hAnsi="仿宋_GB2312" w:eastAsia="仿宋_GB2312" w:cs="仿宋_GB2312"/>
          <w:sz w:val="32"/>
          <w:szCs w:val="32"/>
        </w:rPr>
        <w:t>主要规范工业企业在温室气体管理机制、策划设计、系统配备、实施运行、绩效改进等方面的内容，包括管理体系通用要求、分行业的实施指南等标准。</w:t>
      </w:r>
      <w:r>
        <w:rPr>
          <w:rFonts w:hint="eastAsia" w:ascii="Times New Roman" w:hAnsi="Times New Roman" w:eastAsia="仿宋"/>
          <w:sz w:val="32"/>
          <w:szCs w:val="32"/>
        </w:rPr>
        <w:t>碳排放限额标准</w:t>
      </w:r>
      <w:r>
        <w:rPr>
          <w:rFonts w:hint="eastAsia" w:ascii="仿宋_GB2312" w:hAnsi="仿宋_GB2312" w:eastAsia="仿宋_GB2312" w:cs="仿宋_GB2312"/>
          <w:sz w:val="32"/>
          <w:szCs w:val="32"/>
        </w:rPr>
        <w:t>主要规范工业生产过程或典型工业产品的碳排放限额，是约束工业领域碳排放量的重要手段。</w:t>
      </w:r>
    </w:p>
    <w:p>
      <w:pPr>
        <w:spacing w:before="31" w:after="31"/>
        <w:ind w:firstLine="640"/>
        <w:rPr>
          <w:rFonts w:ascii="仿宋_GB2312" w:hAnsi="仿宋_GB2312" w:eastAsia="仿宋_GB2312" w:cs="仿宋_GB2312"/>
          <w:sz w:val="32"/>
          <w:szCs w:val="32"/>
        </w:rPr>
      </w:pPr>
      <w:r>
        <w:rPr>
          <w:rFonts w:hint="eastAsia" w:ascii="Times New Roman" w:hAnsi="Times New Roman" w:eastAsia="仿宋"/>
          <w:sz w:val="32"/>
          <w:szCs w:val="32"/>
        </w:rPr>
        <w:t>（</w:t>
      </w:r>
      <w:r>
        <w:rPr>
          <w:rFonts w:ascii="Times New Roman" w:hAnsi="Times New Roman" w:eastAsia="仿宋"/>
          <w:sz w:val="32"/>
          <w:szCs w:val="32"/>
        </w:rPr>
        <w:t>3</w:t>
      </w:r>
      <w:r>
        <w:rPr>
          <w:rFonts w:hint="eastAsia" w:ascii="Times New Roman" w:hAnsi="Times New Roman" w:eastAsia="仿宋"/>
          <w:sz w:val="32"/>
          <w:szCs w:val="32"/>
        </w:rPr>
        <w:t>）</w:t>
      </w:r>
      <w:r>
        <w:rPr>
          <w:rFonts w:hint="eastAsia" w:ascii="仿宋_GB2312" w:hAnsi="仿宋_GB2312" w:eastAsia="仿宋_GB2312" w:cs="仿宋_GB2312"/>
          <w:sz w:val="32"/>
          <w:szCs w:val="32"/>
        </w:rPr>
        <w:t>碳资产管理标准</w:t>
      </w:r>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主要用于指导企业对配额排放权、减排信用额、国家核证自愿减排量及相关活动的管理，包括碳资产管理体系、碳资产管理平台等标准。</w:t>
      </w:r>
      <w:bookmarkStart w:id="51" w:name="_Toc40705498"/>
      <w:bookmarkStart w:id="52" w:name="_Toc39420679"/>
    </w:p>
    <w:p>
      <w:pPr>
        <w:pStyle w:val="2"/>
        <w:adjustRightInd w:val="0"/>
        <w:snapToGrid w:val="0"/>
        <w:spacing w:line="240" w:lineRule="auto"/>
        <w:ind w:firstLine="637" w:firstLineChars="177"/>
        <w:rPr>
          <w:rFonts w:ascii="楷体_GB2312" w:hAnsi="楷体_GB2312" w:eastAsia="黑体" w:cs="楷体_GB2312"/>
          <w:sz w:val="36"/>
          <w:szCs w:val="36"/>
        </w:rPr>
      </w:pPr>
      <w:bookmarkStart w:id="53" w:name="_Toc124149055"/>
      <w:r>
        <w:rPr>
          <w:rFonts w:hint="eastAsia" w:eastAsia="黑体"/>
          <w:b w:val="0"/>
          <w:bCs w:val="0"/>
          <w:sz w:val="36"/>
          <w:szCs w:val="36"/>
        </w:rPr>
        <w:t>三、</w:t>
      </w:r>
      <w:bookmarkEnd w:id="51"/>
      <w:bookmarkEnd w:id="52"/>
      <w:r>
        <w:rPr>
          <w:rFonts w:hint="eastAsia" w:eastAsia="黑体"/>
          <w:b w:val="0"/>
          <w:bCs w:val="0"/>
          <w:sz w:val="36"/>
          <w:szCs w:val="36"/>
        </w:rPr>
        <w:t>组织实施</w:t>
      </w:r>
      <w:bookmarkEnd w:id="53"/>
      <w:bookmarkStart w:id="54" w:name="_Toc40705499"/>
      <w:r>
        <w:rPr>
          <w:rFonts w:ascii="楷体_GB2312" w:hAnsi="楷体_GB2312" w:eastAsia="黑体" w:cs="楷体_GB2312"/>
          <w:b w:val="0"/>
          <w:bCs w:val="0"/>
          <w:sz w:val="36"/>
          <w:szCs w:val="36"/>
        </w:rPr>
        <w:t xml:space="preserve">    </w:t>
      </w:r>
      <w:bookmarkEnd w:id="54"/>
      <w:bookmarkStart w:id="55" w:name="_Toc40705501"/>
      <w:r>
        <w:rPr>
          <w:rFonts w:ascii="楷体_GB2312" w:hAnsi="楷体_GB2312" w:eastAsia="黑体" w:cs="楷体_GB2312"/>
          <w:b w:val="0"/>
          <w:bCs w:val="0"/>
          <w:sz w:val="36"/>
          <w:szCs w:val="36"/>
        </w:rPr>
        <w:t xml:space="preserve"> </w:t>
      </w:r>
    </w:p>
    <w:p>
      <w:pPr>
        <w:pStyle w:val="3"/>
        <w:spacing w:before="31" w:after="31"/>
        <w:ind w:firstLine="643"/>
        <w:rPr>
          <w:rFonts w:ascii="仿宋_GB2312" w:hAnsi="仿宋_GB2312" w:eastAsia="仿宋_GB2312" w:cs="仿宋_GB2312"/>
        </w:rPr>
      </w:pPr>
      <w:bookmarkStart w:id="56" w:name="_Toc124149056"/>
      <w:r>
        <w:rPr>
          <w:rFonts w:hint="eastAsia" w:ascii="仿宋_GB2312" w:hAnsi="仿宋_GB2312" w:eastAsia="仿宋_GB2312" w:cs="仿宋_GB2312"/>
        </w:rPr>
        <w:t>（一）加强组织协调</w:t>
      </w:r>
      <w:bookmarkEnd w:id="56"/>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做好工业领域碳达峰碳中和相关标准制定与实施过程中重大问题的统筹协调，加强相关标准化技术组织建设，强化产业链上中下游标准之间的有效衔接，国家标准、行业标准和团体标准之间的协调配套。引导行业内的龙头企业、科研院所、社会团体、检测认证机构、行业低碳标准化技术组织、地方工业和信息化主管部门等积极参与标准化工作，鼓励企业</w:t>
      </w:r>
      <w:r>
        <w:rPr>
          <w:rFonts w:ascii="仿宋_GB2312" w:hAnsi="仿宋_GB2312" w:eastAsia="仿宋_GB2312" w:cs="仿宋_GB2312"/>
          <w:sz w:val="32"/>
          <w:szCs w:val="32"/>
        </w:rPr>
        <w:t>制定</w:t>
      </w:r>
      <w:r>
        <w:rPr>
          <w:rFonts w:hint="eastAsia" w:ascii="仿宋_GB2312" w:hAnsi="仿宋_GB2312" w:eastAsia="仿宋_GB2312" w:cs="仿宋_GB2312"/>
          <w:sz w:val="32"/>
          <w:szCs w:val="32"/>
        </w:rPr>
        <w:t>严</w:t>
      </w:r>
      <w:r>
        <w:rPr>
          <w:rFonts w:ascii="仿宋_GB2312" w:hAnsi="仿宋_GB2312" w:eastAsia="仿宋_GB2312" w:cs="仿宋_GB2312"/>
          <w:sz w:val="32"/>
          <w:szCs w:val="32"/>
        </w:rPr>
        <w:t>于国家标准</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行业标准的企业标准，</w:t>
      </w:r>
      <w:r>
        <w:rPr>
          <w:rFonts w:hint="eastAsia" w:ascii="仿宋_GB2312" w:hAnsi="仿宋_GB2312" w:eastAsia="仿宋_GB2312" w:cs="仿宋_GB2312"/>
          <w:sz w:val="32"/>
          <w:szCs w:val="32"/>
        </w:rPr>
        <w:t>推动企业加快</w:t>
      </w:r>
      <w:r>
        <w:rPr>
          <w:rFonts w:ascii="仿宋_GB2312" w:hAnsi="仿宋_GB2312" w:eastAsia="仿宋_GB2312" w:cs="仿宋_GB2312"/>
          <w:sz w:val="32"/>
          <w:szCs w:val="32"/>
        </w:rPr>
        <w:t>实现低碳转型。</w:t>
      </w:r>
    </w:p>
    <w:p>
      <w:pPr>
        <w:pStyle w:val="3"/>
        <w:spacing w:before="31" w:after="31"/>
        <w:ind w:firstLine="643"/>
        <w:rPr>
          <w:rFonts w:ascii="仿宋_GB2312" w:hAnsi="仿宋_GB2312" w:eastAsia="仿宋_GB2312" w:cs="仿宋_GB2312"/>
        </w:rPr>
      </w:pPr>
      <w:bookmarkStart w:id="57" w:name="_Toc124149057"/>
      <w:r>
        <w:rPr>
          <w:rFonts w:hint="eastAsia" w:ascii="仿宋_GB2312" w:hAnsi="仿宋_GB2312" w:eastAsia="仿宋_GB2312" w:cs="仿宋_GB2312"/>
        </w:rPr>
        <w:t>（二）强化任务落实</w:t>
      </w:r>
      <w:bookmarkEnd w:id="57"/>
    </w:p>
    <w:p>
      <w:pPr>
        <w:spacing w:before="31" w:after="31" w:line="360" w:lineRule="auto"/>
        <w:ind w:firstLine="640"/>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各行业协会、标准化技术委员会和标准化专业机构等要按照标准体系的建设目标和重点方向，加强协调、形成工作合力，加快基础通用和重点标准制定，明确任务清单和时间表。相关标准制定和实施情况应及时向工业和信息化部报告。工业和信息化部将进一步加大对相关标准的支持力度，强化监督检查，确保各项工作的落实落地。</w:t>
      </w:r>
      <w:bookmarkEnd w:id="55"/>
    </w:p>
    <w:p>
      <w:pPr>
        <w:pStyle w:val="3"/>
        <w:spacing w:before="31" w:after="31"/>
        <w:ind w:firstLine="643"/>
        <w:rPr>
          <w:rFonts w:ascii="仿宋_GB2312" w:hAnsi="仿宋_GB2312" w:eastAsia="仿宋_GB2312" w:cs="仿宋_GB2312"/>
        </w:rPr>
      </w:pPr>
      <w:bookmarkStart w:id="58" w:name="_Toc124149058"/>
      <w:r>
        <w:rPr>
          <w:rFonts w:hint="eastAsia" w:ascii="仿宋_GB2312" w:hAnsi="仿宋_GB2312" w:eastAsia="仿宋_GB2312" w:cs="仿宋_GB2312"/>
        </w:rPr>
        <w:t>（三）推进标准宣贯实施</w:t>
      </w:r>
      <w:bookmarkEnd w:id="58"/>
    </w:p>
    <w:p>
      <w:pPr>
        <w:spacing w:before="31" w:after="31"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做好工业领域碳达峰碳中和</w:t>
      </w:r>
      <w:r>
        <w:rPr>
          <w:rFonts w:hint="eastAsia" w:ascii="仿宋_GB2312" w:hAnsi="仿宋_GB2312" w:eastAsia="仿宋_GB2312" w:cs="仿宋_GB2312"/>
          <w:sz w:val="32"/>
          <w:szCs w:val="32"/>
        </w:rPr>
        <w:t>标准体系</w:t>
      </w:r>
      <w:r>
        <w:rPr>
          <w:rFonts w:hint="eastAsia" w:ascii="仿宋_GB2312" w:hAnsi="仿宋_GB2312" w:eastAsia="仿宋_GB2312" w:cs="仿宋_GB2312"/>
          <w:sz w:val="32"/>
          <w:szCs w:val="32"/>
          <w:lang w:eastAsia="zh-Hans"/>
        </w:rPr>
        <w:t>建设指南的宣传解读工作。支持各行业协会、标准化技术委员会和标准化专业机构等组织开展工业绿色低碳标准的宣传培训，引导和帮助企业执行标准。地方工业和信息化主管部门</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Hans"/>
        </w:rPr>
        <w:t>组织本地区企业</w:t>
      </w:r>
      <w:r>
        <w:rPr>
          <w:rFonts w:hint="eastAsia" w:ascii="仿宋_GB2312" w:hAnsi="仿宋_GB2312" w:eastAsia="仿宋_GB2312" w:cs="仿宋_GB2312"/>
          <w:sz w:val="32"/>
          <w:szCs w:val="32"/>
        </w:rPr>
        <w:t>宣贯并</w:t>
      </w:r>
      <w:r>
        <w:rPr>
          <w:rFonts w:hint="eastAsia" w:ascii="仿宋_GB2312" w:hAnsi="仿宋_GB2312" w:eastAsia="仿宋_GB2312" w:cs="仿宋_GB2312"/>
          <w:sz w:val="32"/>
          <w:szCs w:val="32"/>
          <w:lang w:eastAsia="zh-Hans"/>
        </w:rPr>
        <w:t>实施标准。</w:t>
      </w:r>
      <w:r>
        <w:rPr>
          <w:rFonts w:hint="eastAsia" w:ascii="仿宋_GB2312" w:hAnsi="仿宋_GB2312" w:eastAsia="仿宋_GB2312" w:cs="仿宋_GB2312"/>
          <w:sz w:val="32"/>
          <w:szCs w:val="32"/>
        </w:rPr>
        <w:t>建立标准实施效果评估制度，</w:t>
      </w:r>
      <w:r>
        <w:rPr>
          <w:rFonts w:hint="eastAsia" w:ascii="仿宋_GB2312" w:hAnsi="仿宋_GB2312" w:eastAsia="仿宋_GB2312" w:cs="仿宋_GB2312"/>
          <w:sz w:val="32"/>
          <w:szCs w:val="32"/>
          <w:lang w:eastAsia="zh-Hans"/>
        </w:rPr>
        <w:t>及时修订相关标准，</w:t>
      </w:r>
      <w:r>
        <w:rPr>
          <w:rFonts w:hint="eastAsia" w:ascii="仿宋_GB2312" w:hAnsi="仿宋_GB2312" w:eastAsia="仿宋_GB2312" w:cs="仿宋_GB2312"/>
          <w:sz w:val="32"/>
          <w:szCs w:val="32"/>
        </w:rPr>
        <w:t>保证标准的实用性和时效性。</w:t>
      </w:r>
    </w:p>
    <w:p>
      <w:pPr>
        <w:pStyle w:val="3"/>
        <w:spacing w:before="31" w:after="31"/>
        <w:ind w:firstLine="643"/>
        <w:rPr>
          <w:rFonts w:ascii="仿宋_GB2312" w:hAnsi="仿宋_GB2312" w:eastAsia="仿宋_GB2312" w:cs="仿宋_GB2312"/>
        </w:rPr>
      </w:pPr>
      <w:bookmarkStart w:id="59" w:name="_Toc124149059"/>
      <w:bookmarkStart w:id="60" w:name="_Toc39420680"/>
      <w:r>
        <w:rPr>
          <w:rFonts w:hint="eastAsia" w:ascii="仿宋_GB2312" w:hAnsi="仿宋_GB2312" w:eastAsia="仿宋_GB2312" w:cs="仿宋_GB2312"/>
        </w:rPr>
        <w:t>（四）加强国际合作</w:t>
      </w:r>
      <w:bookmarkEnd w:id="59"/>
    </w:p>
    <w:p>
      <w:pPr>
        <w:spacing w:before="31" w:after="31" w:line="360" w:lineRule="auto"/>
        <w:ind w:firstLine="640"/>
        <w:rPr>
          <w:lang w:eastAsia="zh-Hans"/>
        </w:rPr>
      </w:pPr>
      <w:r>
        <w:rPr>
          <w:rFonts w:ascii="Times New Roman" w:hAnsi="Times New Roman" w:eastAsia="仿宋_GB2312"/>
          <w:sz w:val="32"/>
          <w:szCs w:val="32"/>
        </w:rPr>
        <w:t>积极参与</w:t>
      </w:r>
      <w:r>
        <w:rPr>
          <w:rFonts w:ascii="Times New Roman" w:hAnsi="Times New Roman" w:eastAsia="仿宋_GB2312"/>
          <w:sz w:val="32"/>
          <w:szCs w:val="32"/>
          <w:lang w:eastAsia="zh-Hans"/>
        </w:rPr>
        <w:t>国际标准化组织（ISO）、国际电工委员会（IEC） 和国际电信联盟（ITU）等国际组织的绿色低碳标准化活动。</w:t>
      </w:r>
      <w:r>
        <w:rPr>
          <w:rFonts w:ascii="Times New Roman" w:hAnsi="Times New Roman" w:eastAsia="仿宋_GB2312"/>
          <w:sz w:val="32"/>
          <w:szCs w:val="32"/>
        </w:rPr>
        <w:t>深度</w:t>
      </w:r>
      <w:r>
        <w:rPr>
          <w:rFonts w:ascii="Times New Roman" w:hAnsi="Times New Roman" w:eastAsia="仿宋_GB2312"/>
          <w:sz w:val="32"/>
          <w:szCs w:val="32"/>
          <w:lang w:eastAsia="zh-Hans"/>
        </w:rPr>
        <w:t>参与</w:t>
      </w:r>
      <w:r>
        <w:rPr>
          <w:rFonts w:hint="eastAsia" w:ascii="Times New Roman" w:hAnsi="Times New Roman" w:eastAsia="仿宋_GB2312"/>
          <w:sz w:val="32"/>
          <w:szCs w:val="32"/>
        </w:rPr>
        <w:t>基础通用、</w:t>
      </w:r>
      <w:r>
        <w:rPr>
          <w:rFonts w:ascii="Times New Roman" w:hAnsi="Times New Roman" w:eastAsia="仿宋_GB2312"/>
          <w:sz w:val="32"/>
          <w:szCs w:val="32"/>
        </w:rPr>
        <w:t>温室气体</w:t>
      </w:r>
      <w:r>
        <w:rPr>
          <w:rFonts w:ascii="Times New Roman" w:hAnsi="Times New Roman" w:eastAsia="仿宋_GB2312"/>
          <w:sz w:val="32"/>
          <w:szCs w:val="32"/>
          <w:lang w:eastAsia="zh-Hans"/>
        </w:rPr>
        <w:t>排放核算</w:t>
      </w:r>
      <w:r>
        <w:rPr>
          <w:rFonts w:hint="eastAsia" w:ascii="Times New Roman" w:hAnsi="Times New Roman" w:eastAsia="仿宋_GB2312"/>
          <w:sz w:val="32"/>
          <w:szCs w:val="32"/>
        </w:rPr>
        <w:t>与</w:t>
      </w:r>
      <w:r>
        <w:rPr>
          <w:rFonts w:ascii="Times New Roman" w:hAnsi="Times New Roman" w:eastAsia="仿宋_GB2312"/>
          <w:sz w:val="32"/>
          <w:szCs w:val="32"/>
          <w:lang w:eastAsia="zh-Hans"/>
        </w:rPr>
        <w:t>核查、</w:t>
      </w:r>
      <w:r>
        <w:rPr>
          <w:rFonts w:hint="eastAsia" w:ascii="Times New Roman" w:hAnsi="Times New Roman" w:eastAsia="仿宋_GB2312"/>
          <w:sz w:val="32"/>
          <w:szCs w:val="32"/>
        </w:rPr>
        <w:t>低碳</w:t>
      </w:r>
      <w:r>
        <w:rPr>
          <w:rFonts w:ascii="Times New Roman" w:hAnsi="Times New Roman" w:eastAsia="仿宋_GB2312"/>
          <w:sz w:val="32"/>
          <w:szCs w:val="32"/>
          <w:lang w:eastAsia="zh-Hans"/>
        </w:rPr>
        <w:t>技术与装备、</w:t>
      </w:r>
      <w:r>
        <w:rPr>
          <w:rFonts w:ascii="Times New Roman" w:hAnsi="Times New Roman" w:eastAsia="仿宋_GB2312"/>
          <w:sz w:val="32"/>
          <w:szCs w:val="32"/>
        </w:rPr>
        <w:t>温室气体</w:t>
      </w:r>
      <w:r>
        <w:rPr>
          <w:rFonts w:ascii="Times New Roman" w:hAnsi="Times New Roman" w:eastAsia="仿宋_GB2312"/>
          <w:sz w:val="32"/>
          <w:szCs w:val="32"/>
          <w:lang w:eastAsia="zh-Hans"/>
        </w:rPr>
        <w:t>监测、</w:t>
      </w:r>
      <w:r>
        <w:rPr>
          <w:rFonts w:ascii="Times New Roman" w:hAnsi="Times New Roman" w:eastAsia="仿宋_GB2312"/>
          <w:sz w:val="32"/>
          <w:szCs w:val="32"/>
        </w:rPr>
        <w:t>碳排放管理</w:t>
      </w:r>
      <w:r>
        <w:rPr>
          <w:rFonts w:hint="eastAsia" w:ascii="Times New Roman" w:hAnsi="Times New Roman" w:eastAsia="仿宋_GB2312"/>
          <w:sz w:val="32"/>
          <w:szCs w:val="32"/>
        </w:rPr>
        <w:t>与评价</w:t>
      </w:r>
      <w:r>
        <w:rPr>
          <w:rFonts w:ascii="Times New Roman" w:hAnsi="Times New Roman" w:eastAsia="仿宋_GB2312"/>
          <w:sz w:val="32"/>
          <w:szCs w:val="32"/>
          <w:lang w:eastAsia="zh-Hans"/>
        </w:rPr>
        <w:t>等重点领域标准的研究与制修订，</w:t>
      </w:r>
      <w:r>
        <w:rPr>
          <w:rFonts w:ascii="Times New Roman" w:hAnsi="Times New Roman" w:eastAsia="仿宋_GB2312"/>
          <w:sz w:val="32"/>
          <w:szCs w:val="32"/>
        </w:rPr>
        <w:t>适时</w:t>
      </w:r>
      <w:r>
        <w:rPr>
          <w:rFonts w:ascii="Times New Roman" w:hAnsi="Times New Roman" w:eastAsia="仿宋_GB2312"/>
          <w:sz w:val="32"/>
          <w:szCs w:val="32"/>
          <w:lang w:eastAsia="zh-Hans"/>
        </w:rPr>
        <w:t>提出国际标准提案，分享中国在碳达峰碳中和方面的标准化实践经验。</w:t>
      </w:r>
      <w:bookmarkEnd w:id="60"/>
    </w:p>
    <w:p>
      <w:pPr>
        <w:widowControl/>
        <w:spacing w:beforeLines="0" w:afterLines="0"/>
        <w:ind w:firstLine="0" w:firstLineChars="0"/>
        <w:rPr>
          <w:rFonts w:ascii="Times New Roman" w:hAnsi="Times New Roman" w:eastAsia="仿宋"/>
          <w:kern w:val="0"/>
          <w:sz w:val="30"/>
          <w:szCs w:val="30"/>
        </w:rPr>
        <w:sectPr>
          <w:pgSz w:w="11906" w:h="16838"/>
          <w:pgMar w:top="1440" w:right="1800" w:bottom="1440" w:left="1800" w:header="851" w:footer="992" w:gutter="0"/>
          <w:cols w:space="425" w:num="1"/>
          <w:docGrid w:type="lines" w:linePitch="312" w:charSpace="0"/>
        </w:sectPr>
      </w:pPr>
    </w:p>
    <w:p>
      <w:pPr>
        <w:pStyle w:val="2"/>
        <w:adjustRightInd w:val="0"/>
        <w:snapToGrid w:val="0"/>
        <w:spacing w:line="240" w:lineRule="auto"/>
        <w:rPr>
          <w:rFonts w:ascii="黑体" w:hAnsi="黑体" w:eastAsia="黑体"/>
          <w:b w:val="0"/>
          <w:bCs w:val="0"/>
          <w:sz w:val="32"/>
          <w:szCs w:val="32"/>
        </w:rPr>
      </w:pPr>
      <w:bookmarkStart w:id="61" w:name="_Toc124149060"/>
      <w:r>
        <w:rPr>
          <w:rFonts w:hint="eastAsia" w:ascii="黑体" w:hAnsi="黑体" w:eastAsia="黑体"/>
          <w:b w:val="0"/>
          <w:bCs w:val="0"/>
          <w:sz w:val="32"/>
          <w:szCs w:val="32"/>
        </w:rPr>
        <w:t>附件1</w:t>
      </w:r>
      <w:bookmarkEnd w:id="61"/>
    </w:p>
    <w:p>
      <w:pPr>
        <w:widowControl/>
        <w:spacing w:beforeLines="0" w:afterLines="0"/>
        <w:ind w:firstLine="0" w:firstLineChars="0"/>
        <w:jc w:val="center"/>
        <w:rPr>
          <w:rFonts w:ascii="黑体" w:hAnsi="黑体" w:eastAsia="黑体"/>
          <w:sz w:val="36"/>
          <w:szCs w:val="36"/>
        </w:rPr>
      </w:pPr>
      <w:r>
        <w:rPr>
          <w:rFonts w:ascii="黑体" w:hAnsi="黑体" w:eastAsia="黑体"/>
          <w:sz w:val="36"/>
          <w:szCs w:val="36"/>
        </w:rPr>
        <w:t>工业领域碳达峰碳中和现行和在研标准项目清单</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732"/>
        <w:gridCol w:w="5972"/>
        <w:gridCol w:w="1193"/>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1" w:type="pct"/>
            <w:shd w:val="clear" w:color="auto" w:fill="auto"/>
            <w:vAlign w:val="center"/>
          </w:tcPr>
          <w:p>
            <w:pPr>
              <w:widowControl/>
              <w:spacing w:beforeLines="0" w:afterLines="0" w:line="360" w:lineRule="exact"/>
              <w:ind w:firstLine="0" w:firstLineChars="0"/>
              <w:jc w:val="center"/>
              <w:rPr>
                <w:rFonts w:ascii="黑体" w:hAnsi="黑体" w:eastAsia="黑体" w:cs="宋体"/>
                <w:kern w:val="0"/>
                <w:sz w:val="28"/>
                <w:szCs w:val="28"/>
              </w:rPr>
            </w:pPr>
            <w:r>
              <w:rPr>
                <w:rFonts w:hint="eastAsia" w:ascii="黑体" w:hAnsi="黑体" w:eastAsia="黑体" w:cs="宋体"/>
                <w:kern w:val="0"/>
                <w:sz w:val="28"/>
                <w:szCs w:val="28"/>
              </w:rPr>
              <w:t>序号</w:t>
            </w:r>
          </w:p>
        </w:tc>
        <w:tc>
          <w:tcPr>
            <w:tcW w:w="964" w:type="pct"/>
            <w:shd w:val="clear" w:color="auto" w:fill="auto"/>
            <w:vAlign w:val="center"/>
          </w:tcPr>
          <w:p>
            <w:pPr>
              <w:widowControl/>
              <w:spacing w:beforeLines="0" w:afterLines="0" w:line="360" w:lineRule="exact"/>
              <w:ind w:firstLine="0" w:firstLineChars="0"/>
              <w:jc w:val="center"/>
              <w:rPr>
                <w:rFonts w:ascii="黑体" w:hAnsi="黑体" w:eastAsia="黑体" w:cs="宋体"/>
                <w:kern w:val="0"/>
                <w:sz w:val="28"/>
                <w:szCs w:val="28"/>
              </w:rPr>
            </w:pPr>
            <w:r>
              <w:rPr>
                <w:rFonts w:hint="eastAsia" w:ascii="黑体" w:hAnsi="黑体" w:eastAsia="黑体" w:cs="宋体"/>
                <w:kern w:val="0"/>
                <w:sz w:val="28"/>
                <w:szCs w:val="28"/>
              </w:rPr>
              <w:t>标准编号</w:t>
            </w:r>
          </w:p>
        </w:tc>
        <w:tc>
          <w:tcPr>
            <w:tcW w:w="2107" w:type="pct"/>
            <w:shd w:val="clear" w:color="auto" w:fill="auto"/>
            <w:vAlign w:val="center"/>
          </w:tcPr>
          <w:p>
            <w:pPr>
              <w:widowControl/>
              <w:spacing w:beforeLines="0" w:afterLines="0" w:line="360" w:lineRule="exact"/>
              <w:ind w:firstLine="0" w:firstLineChars="0"/>
              <w:jc w:val="center"/>
              <w:rPr>
                <w:rFonts w:ascii="黑体" w:hAnsi="黑体" w:eastAsia="黑体" w:cs="宋体"/>
                <w:kern w:val="0"/>
                <w:sz w:val="28"/>
                <w:szCs w:val="28"/>
              </w:rPr>
            </w:pPr>
            <w:r>
              <w:rPr>
                <w:rFonts w:hint="eastAsia" w:ascii="黑体" w:hAnsi="黑体" w:eastAsia="黑体" w:cs="宋体"/>
                <w:kern w:val="0"/>
                <w:sz w:val="28"/>
                <w:szCs w:val="28"/>
              </w:rPr>
              <w:t>标准名称</w:t>
            </w:r>
          </w:p>
        </w:tc>
        <w:tc>
          <w:tcPr>
            <w:tcW w:w="421" w:type="pct"/>
            <w:shd w:val="clear" w:color="auto" w:fill="auto"/>
            <w:vAlign w:val="center"/>
          </w:tcPr>
          <w:p>
            <w:pPr>
              <w:widowControl/>
              <w:spacing w:beforeLines="0" w:afterLines="0" w:line="360" w:lineRule="exact"/>
              <w:ind w:firstLine="0" w:firstLineChars="0"/>
              <w:jc w:val="center"/>
              <w:rPr>
                <w:rFonts w:ascii="黑体" w:hAnsi="黑体" w:eastAsia="黑体" w:cs="宋体"/>
                <w:kern w:val="0"/>
                <w:sz w:val="28"/>
                <w:szCs w:val="28"/>
              </w:rPr>
            </w:pPr>
            <w:r>
              <w:rPr>
                <w:rFonts w:hint="eastAsia" w:ascii="黑体" w:hAnsi="黑体" w:eastAsia="黑体" w:cs="宋体"/>
                <w:kern w:val="0"/>
                <w:sz w:val="28"/>
                <w:szCs w:val="28"/>
              </w:rPr>
              <w:t>状态</w:t>
            </w:r>
          </w:p>
        </w:tc>
        <w:tc>
          <w:tcPr>
            <w:tcW w:w="1027" w:type="pct"/>
            <w:shd w:val="clear" w:color="auto" w:fill="auto"/>
            <w:vAlign w:val="center"/>
          </w:tcPr>
          <w:p>
            <w:pPr>
              <w:widowControl/>
              <w:spacing w:beforeLines="0" w:afterLines="0" w:line="360" w:lineRule="exact"/>
              <w:ind w:firstLine="0" w:firstLineChars="0"/>
              <w:jc w:val="center"/>
              <w:rPr>
                <w:rFonts w:ascii="黑体" w:hAnsi="黑体" w:eastAsia="黑体" w:cs="宋体"/>
                <w:kern w:val="0"/>
                <w:sz w:val="28"/>
                <w:szCs w:val="28"/>
              </w:rPr>
            </w:pPr>
            <w:r>
              <w:rPr>
                <w:rFonts w:hint="eastAsia" w:ascii="黑体" w:hAnsi="黑体" w:eastAsia="黑体" w:cs="宋体"/>
                <w:kern w:val="0"/>
                <w:sz w:val="28"/>
                <w:szCs w:val="28"/>
              </w:rPr>
              <w:t>体系位置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5"/>
            <w:shd w:val="clear" w:color="auto" w:fill="auto"/>
            <w:vAlign w:val="center"/>
          </w:tcPr>
          <w:p>
            <w:pPr>
              <w:widowControl/>
              <w:spacing w:beforeLines="0" w:afterLines="0" w:line="360" w:lineRule="exact"/>
              <w:ind w:firstLine="0" w:firstLineChars="0"/>
              <w:jc w:val="left"/>
              <w:rPr>
                <w:rFonts w:ascii="仿宋" w:hAnsi="仿宋" w:eastAsia="仿宋" w:cs="宋体"/>
                <w:b/>
                <w:bCs/>
                <w:kern w:val="0"/>
                <w:sz w:val="28"/>
                <w:szCs w:val="28"/>
              </w:rPr>
            </w:pPr>
            <w:r>
              <w:rPr>
                <w:rFonts w:hint="eastAsia" w:ascii="仿宋" w:hAnsi="仿宋" w:eastAsia="仿宋" w:cs="宋体"/>
                <w:b/>
                <w:bCs/>
                <w:kern w:val="0"/>
                <w:sz w:val="28"/>
                <w:szCs w:val="28"/>
              </w:rPr>
              <w:t>一、基础通用标准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2021-1715T-SH</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石化行业碳排放管理术语及定义</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术语定义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20173624-T-303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工业企业温室气体排放数据质量管理技术规范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2021-1714T-HG/SH</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石化化工企业碳排放信息披露要求与实施指南</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报告声明与信息披露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"http://219.239.107.155:8080/TaskBook.aspx?id=20211741TYB" </w:instrText>
            </w:r>
            <w:r>
              <w:fldChar w:fldCharType="separate"/>
            </w:r>
            <w:r>
              <w:rPr>
                <w:rFonts w:ascii="仿宋" w:hAnsi="仿宋" w:eastAsia="仿宋"/>
                <w:kern w:val="0"/>
                <w:sz w:val="28"/>
                <w:szCs w:val="28"/>
              </w:rPr>
              <w:t>2021-1735T-YB</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钢铁产品碳披露导则</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报告声明与信息披露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5"/>
            <w:shd w:val="clear" w:color="auto" w:fill="auto"/>
            <w:vAlign w:val="center"/>
          </w:tcPr>
          <w:p>
            <w:pPr>
              <w:widowControl/>
              <w:spacing w:beforeLines="0" w:afterLines="0" w:line="360" w:lineRule="exact"/>
              <w:ind w:firstLine="0" w:firstLineChars="0"/>
              <w:jc w:val="left"/>
              <w:rPr>
                <w:rFonts w:ascii="仿宋" w:hAnsi="仿宋" w:eastAsia="仿宋" w:cs="宋体"/>
                <w:b/>
                <w:bCs/>
                <w:kern w:val="0"/>
                <w:sz w:val="28"/>
                <w:szCs w:val="28"/>
              </w:rPr>
            </w:pPr>
            <w:r>
              <w:rPr>
                <w:rFonts w:hint="eastAsia" w:ascii="仿宋" w:hAnsi="仿宋" w:eastAsia="仿宋" w:cs="宋体"/>
                <w:b/>
                <w:bCs/>
                <w:kern w:val="0"/>
                <w:sz w:val="28"/>
                <w:szCs w:val="28"/>
              </w:rPr>
              <w:t>二、核算与核查标准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20220807-T-467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工业企业温室气体排放核算和报告通则</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hint="eastAsia" w:ascii="仿宋" w:hAnsi="仿宋" w:eastAsia="仿宋"/>
                <w:kern w:val="0"/>
                <w:sz w:val="28"/>
                <w:szCs w:val="28"/>
              </w:rPr>
              <w:t>修订中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32151.1-2015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1</w:t>
            </w:r>
            <w:r>
              <w:rPr>
                <w:rFonts w:hint="eastAsia" w:ascii="仿宋" w:hAnsi="仿宋" w:eastAsia="仿宋"/>
                <w:kern w:val="0"/>
                <w:sz w:val="28"/>
                <w:szCs w:val="28"/>
              </w:rPr>
              <w:t>部分：发电企业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32151.2-2015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2</w:t>
            </w:r>
            <w:r>
              <w:rPr>
                <w:rFonts w:hint="eastAsia" w:ascii="仿宋" w:hAnsi="仿宋" w:eastAsia="仿宋"/>
                <w:kern w:val="0"/>
                <w:sz w:val="28"/>
                <w:szCs w:val="28"/>
              </w:rPr>
              <w:t>部分：电网企业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32151.3-2015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3</w:t>
            </w:r>
            <w:r>
              <w:rPr>
                <w:rFonts w:hint="eastAsia" w:ascii="仿宋" w:hAnsi="仿宋" w:eastAsia="仿宋"/>
                <w:kern w:val="0"/>
                <w:sz w:val="28"/>
                <w:szCs w:val="28"/>
              </w:rPr>
              <w:t>部分：镁冶炼企业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20220802-T-467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4</w:t>
            </w:r>
            <w:r>
              <w:rPr>
                <w:rFonts w:hint="eastAsia" w:ascii="仿宋" w:hAnsi="仿宋" w:eastAsia="仿宋"/>
                <w:kern w:val="0"/>
                <w:sz w:val="28"/>
                <w:szCs w:val="28"/>
              </w:rPr>
              <w:t>部分：铝冶炼企业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hint="eastAsia" w:ascii="仿宋" w:hAnsi="仿宋" w:eastAsia="仿宋"/>
                <w:kern w:val="0"/>
                <w:sz w:val="28"/>
                <w:szCs w:val="28"/>
              </w:rPr>
              <w:t>修订中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20220805-T-467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5</w:t>
            </w:r>
            <w:r>
              <w:rPr>
                <w:rFonts w:hint="eastAsia" w:ascii="仿宋" w:hAnsi="仿宋" w:eastAsia="仿宋"/>
                <w:kern w:val="0"/>
                <w:sz w:val="28"/>
                <w:szCs w:val="28"/>
              </w:rPr>
              <w:t>部分：钢铁生产企业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hint="eastAsia" w:ascii="仿宋" w:hAnsi="仿宋" w:eastAsia="仿宋"/>
                <w:kern w:val="0"/>
                <w:sz w:val="28"/>
                <w:szCs w:val="28"/>
              </w:rPr>
              <w:t>修订中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32151.6-2015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6</w:t>
            </w:r>
            <w:r>
              <w:rPr>
                <w:rFonts w:hint="eastAsia" w:ascii="仿宋" w:hAnsi="仿宋" w:eastAsia="仿宋"/>
                <w:kern w:val="0"/>
                <w:sz w:val="28"/>
                <w:szCs w:val="28"/>
              </w:rPr>
              <w:t>部分：民用航空企业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32151.7-2015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7</w:t>
            </w:r>
            <w:r>
              <w:rPr>
                <w:rFonts w:hint="eastAsia" w:ascii="仿宋" w:hAnsi="仿宋" w:eastAsia="仿宋"/>
                <w:kern w:val="0"/>
                <w:sz w:val="28"/>
                <w:szCs w:val="28"/>
              </w:rPr>
              <w:t>部分：平板玻璃生产企业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32151.8-2015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8</w:t>
            </w:r>
            <w:r>
              <w:rPr>
                <w:rFonts w:hint="eastAsia" w:ascii="仿宋" w:hAnsi="仿宋" w:eastAsia="仿宋"/>
                <w:kern w:val="0"/>
                <w:sz w:val="28"/>
                <w:szCs w:val="28"/>
              </w:rPr>
              <w:t>部分：水泥生产企业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32151.9-2015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9</w:t>
            </w:r>
            <w:r>
              <w:rPr>
                <w:rFonts w:hint="eastAsia" w:ascii="仿宋" w:hAnsi="仿宋" w:eastAsia="仿宋"/>
                <w:kern w:val="0"/>
                <w:sz w:val="28"/>
                <w:szCs w:val="28"/>
              </w:rPr>
              <w:t>部分：陶瓷生产企业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32151.10-2015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10</w:t>
            </w:r>
            <w:r>
              <w:rPr>
                <w:rFonts w:hint="eastAsia" w:ascii="仿宋" w:hAnsi="仿宋" w:eastAsia="仿宋"/>
                <w:kern w:val="0"/>
                <w:sz w:val="28"/>
                <w:szCs w:val="28"/>
              </w:rPr>
              <w:t>部分：化工生产企业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20220804-T-467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11</w:t>
            </w:r>
            <w:r>
              <w:rPr>
                <w:rFonts w:hint="eastAsia" w:ascii="仿宋" w:hAnsi="仿宋" w:eastAsia="仿宋"/>
                <w:kern w:val="0"/>
                <w:sz w:val="28"/>
                <w:szCs w:val="28"/>
              </w:rPr>
              <w:t>部分</w:t>
            </w:r>
            <w:r>
              <w:rPr>
                <w:rFonts w:ascii="仿宋" w:hAnsi="仿宋" w:eastAsia="仿宋"/>
                <w:kern w:val="0"/>
                <w:sz w:val="28"/>
                <w:szCs w:val="28"/>
              </w:rPr>
              <w:t xml:space="preserve">: </w:t>
            </w:r>
            <w:r>
              <w:rPr>
                <w:rFonts w:hint="eastAsia" w:ascii="仿宋" w:hAnsi="仿宋" w:eastAsia="仿宋"/>
                <w:kern w:val="0"/>
                <w:sz w:val="28"/>
                <w:szCs w:val="28"/>
              </w:rPr>
              <w:t>煤炭生产企业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hint="eastAsia" w:ascii="仿宋" w:hAnsi="仿宋" w:eastAsia="仿宋"/>
                <w:kern w:val="0"/>
                <w:sz w:val="28"/>
                <w:szCs w:val="28"/>
              </w:rPr>
              <w:t>修订中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32151.12-2018</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12</w:t>
            </w:r>
            <w:r>
              <w:rPr>
                <w:rFonts w:hint="eastAsia" w:ascii="仿宋" w:hAnsi="仿宋" w:eastAsia="仿宋"/>
                <w:kern w:val="0"/>
                <w:sz w:val="28"/>
                <w:szCs w:val="28"/>
              </w:rPr>
              <w:t>部分</w:t>
            </w:r>
            <w:r>
              <w:rPr>
                <w:rFonts w:ascii="仿宋" w:hAnsi="仿宋" w:eastAsia="仿宋"/>
                <w:kern w:val="0"/>
                <w:sz w:val="28"/>
                <w:szCs w:val="28"/>
              </w:rPr>
              <w:t xml:space="preserve">: </w:t>
            </w:r>
            <w:r>
              <w:rPr>
                <w:rFonts w:hint="eastAsia" w:ascii="仿宋" w:hAnsi="仿宋" w:eastAsia="仿宋"/>
                <w:kern w:val="0"/>
                <w:sz w:val="28"/>
                <w:szCs w:val="28"/>
              </w:rPr>
              <w:t>纺织服装企业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20173625-T-303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温室气体排放核算方法与报告指南 </w:t>
            </w:r>
            <w:r>
              <w:rPr>
                <w:rFonts w:hint="eastAsia" w:ascii="仿宋" w:hAnsi="仿宋" w:eastAsia="仿宋"/>
                <w:kern w:val="0"/>
                <w:sz w:val="28"/>
                <w:szCs w:val="28"/>
              </w:rPr>
              <w:t>畜禽规模养殖企业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20192397-T-303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XX</w:t>
            </w:r>
            <w:r>
              <w:rPr>
                <w:rFonts w:hint="eastAsia" w:ascii="仿宋" w:hAnsi="仿宋" w:eastAsia="仿宋"/>
                <w:kern w:val="0"/>
                <w:sz w:val="28"/>
                <w:szCs w:val="28"/>
              </w:rPr>
              <w:t>部分：水运企业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20131608-T-469</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针织印染企业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20173623-T-303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种植业企业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20173627-T-303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温室气体排放核算与报告要求：电子设备制造企业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20173621-T-303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温室气体排放核算与报告要求：独立焦化企业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20173629-T-303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温室气体排放核算与报告要求：公共建筑运营单位（企业）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20173630-T-303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温室气体排放核算与报告要求：机械设备制造企业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20173631-T-303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温室气体排放核算与报告要求：矿山企业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20173620-T-303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温室气体排放核算与报告要求：陆上交通运输企业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20173626-T-303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温室气体排放核算与报告要求：其他有色金属冶炼和压延加工业企业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20173632-T-303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温室气体排放核算与报告要求：石油化工企业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20173633-T-303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温室气体排放核算与报告要求：石油天然气生产企业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20173634-T-303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温室气体排放核算与报告要求：食品、烟草及酒、饮料和精制茶企业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20173622-T-303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温室气体排放核算与报告要求：造纸和纸制品生产企业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20173628-T-303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温室气体排放核算与报告要求</w:t>
            </w:r>
            <w:r>
              <w:rPr>
                <w:rFonts w:hint="eastAsia" w:ascii="仿宋" w:hAnsi="仿宋" w:eastAsia="仿宋"/>
                <w:kern w:val="0"/>
                <w:sz w:val="28"/>
                <w:szCs w:val="28"/>
              </w:rPr>
              <w:t xml:space="preserve"> </w:t>
            </w:r>
            <w:r>
              <w:rPr>
                <w:rFonts w:ascii="仿宋" w:hAnsi="仿宋" w:eastAsia="仿宋"/>
                <w:kern w:val="0"/>
                <w:sz w:val="28"/>
                <w:szCs w:val="28"/>
              </w:rPr>
              <w:t>第17</w:t>
            </w:r>
            <w:r>
              <w:rPr>
                <w:rFonts w:hint="eastAsia" w:ascii="仿宋" w:hAnsi="仿宋" w:eastAsia="仿宋"/>
                <w:kern w:val="0"/>
                <w:sz w:val="28"/>
                <w:szCs w:val="28"/>
              </w:rPr>
              <w:t>部分：氟化工企业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20220803-T-467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hint="eastAsia" w:ascii="仿宋" w:hAnsi="仿宋" w:eastAsia="仿宋"/>
                <w:kern w:val="0"/>
                <w:sz w:val="28"/>
                <w:szCs w:val="28"/>
              </w:rPr>
              <w:t>温室气体排放核算与报告要求</w:t>
            </w:r>
            <w:r>
              <w:rPr>
                <w:rFonts w:ascii="仿宋" w:hAnsi="仿宋" w:eastAsia="仿宋"/>
                <w:kern w:val="0"/>
                <w:sz w:val="28"/>
                <w:szCs w:val="28"/>
              </w:rPr>
              <w:t xml:space="preserve"> </w:t>
            </w:r>
            <w:r>
              <w:rPr>
                <w:rFonts w:hint="eastAsia" w:ascii="仿宋" w:hAnsi="仿宋" w:eastAsia="仿宋"/>
                <w:kern w:val="0"/>
                <w:sz w:val="28"/>
                <w:szCs w:val="28"/>
              </w:rPr>
              <w:t>第</w:t>
            </w:r>
            <w:r>
              <w:rPr>
                <w:rFonts w:ascii="仿宋" w:hAnsi="仿宋" w:eastAsia="仿宋"/>
                <w:kern w:val="0"/>
                <w:sz w:val="28"/>
                <w:szCs w:val="28"/>
              </w:rPr>
              <w:t>XX</w:t>
            </w:r>
            <w:r>
              <w:rPr>
                <w:rFonts w:hint="eastAsia" w:ascii="仿宋" w:hAnsi="仿宋" w:eastAsia="仿宋"/>
                <w:kern w:val="0"/>
                <w:sz w:val="28"/>
                <w:szCs w:val="28"/>
              </w:rPr>
              <w:t>部分：城镇燃气供应企业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20220830-T-469</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XX</w:t>
            </w:r>
            <w:r>
              <w:rPr>
                <w:rFonts w:hint="eastAsia" w:ascii="仿宋" w:hAnsi="仿宋" w:eastAsia="仿宋"/>
                <w:kern w:val="0"/>
                <w:sz w:val="28"/>
                <w:szCs w:val="28"/>
              </w:rPr>
              <w:t>部分：铸造企业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20220806-T-467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XX</w:t>
            </w:r>
            <w:r>
              <w:rPr>
                <w:rFonts w:hint="eastAsia" w:ascii="仿宋" w:hAnsi="仿宋" w:eastAsia="仿宋"/>
                <w:kern w:val="0"/>
                <w:sz w:val="28"/>
                <w:szCs w:val="28"/>
              </w:rPr>
              <w:t>部分：废弃物填埋处理企业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20220850-T-607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温室气体排放核算与报告要求 </w:t>
            </w:r>
            <w:r>
              <w:rPr>
                <w:rFonts w:hint="eastAsia" w:ascii="仿宋" w:hAnsi="仿宋" w:eastAsia="仿宋"/>
                <w:kern w:val="0"/>
                <w:sz w:val="28"/>
                <w:szCs w:val="28"/>
              </w:rPr>
              <w:t>第</w:t>
            </w:r>
            <w:r>
              <w:rPr>
                <w:rFonts w:ascii="仿宋" w:hAnsi="仿宋" w:eastAsia="仿宋"/>
                <w:kern w:val="0"/>
                <w:sz w:val="28"/>
                <w:szCs w:val="28"/>
              </w:rPr>
              <w:t>XX</w:t>
            </w:r>
            <w:r>
              <w:rPr>
                <w:rFonts w:hint="eastAsia" w:ascii="仿宋" w:hAnsi="仿宋" w:eastAsia="仿宋"/>
                <w:kern w:val="0"/>
                <w:sz w:val="28"/>
                <w:szCs w:val="28"/>
              </w:rPr>
              <w:t>部分：冷库运营企业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20220839-T-469</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温室气体碳核算方法与报告要求 </w:t>
            </w:r>
            <w:r>
              <w:rPr>
                <w:rFonts w:hint="eastAsia" w:ascii="仿宋" w:hAnsi="仿宋" w:eastAsia="仿宋"/>
                <w:kern w:val="0"/>
                <w:sz w:val="28"/>
                <w:szCs w:val="28"/>
              </w:rPr>
              <w:t>第</w:t>
            </w:r>
            <w:r>
              <w:rPr>
                <w:rFonts w:ascii="仿宋" w:hAnsi="仿宋" w:eastAsia="仿宋"/>
                <w:kern w:val="0"/>
                <w:sz w:val="28"/>
                <w:szCs w:val="28"/>
              </w:rPr>
              <w:t>XX</w:t>
            </w:r>
            <w:r>
              <w:rPr>
                <w:rFonts w:hint="eastAsia" w:ascii="仿宋" w:hAnsi="仿宋" w:eastAsia="仿宋"/>
                <w:kern w:val="0"/>
                <w:sz w:val="28"/>
                <w:szCs w:val="28"/>
              </w:rPr>
              <w:t>部分：锻造企业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20220840-T-469</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温室气体碳核算方法与报告要求 </w:t>
            </w:r>
            <w:r>
              <w:rPr>
                <w:rFonts w:hint="eastAsia" w:ascii="仿宋" w:hAnsi="仿宋" w:eastAsia="仿宋"/>
                <w:kern w:val="0"/>
                <w:sz w:val="28"/>
                <w:szCs w:val="28"/>
              </w:rPr>
              <w:t>第</w:t>
            </w:r>
            <w:r>
              <w:rPr>
                <w:rFonts w:ascii="仿宋" w:hAnsi="仿宋" w:eastAsia="仿宋"/>
                <w:kern w:val="0"/>
                <w:sz w:val="28"/>
                <w:szCs w:val="28"/>
              </w:rPr>
              <w:t>XX</w:t>
            </w:r>
            <w:r>
              <w:rPr>
                <w:rFonts w:hint="eastAsia" w:ascii="仿宋" w:hAnsi="仿宋" w:eastAsia="仿宋"/>
                <w:kern w:val="0"/>
                <w:sz w:val="28"/>
                <w:szCs w:val="28"/>
              </w:rPr>
              <w:t>部分：热处理企业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"http://219.239.107.155:8080/TaskBook.aspx?id=20211742TYB" </w:instrText>
            </w:r>
            <w:r>
              <w:fldChar w:fldCharType="separate"/>
            </w:r>
            <w:r>
              <w:rPr>
                <w:rFonts w:ascii="仿宋" w:hAnsi="仿宋" w:eastAsia="仿宋"/>
                <w:kern w:val="0"/>
                <w:sz w:val="28"/>
                <w:szCs w:val="28"/>
              </w:rPr>
              <w:t>2021-1737T-YB</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二氧化碳排放核算与报告要求 粗钢生产主要工序</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2021-1719T-HG</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二氧化碳排放核算与报告要求 电石企业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"http://219.239.107.155:8080/TaskBook.aspx?id=20211758TYS" </w:instrText>
            </w:r>
            <w:r>
              <w:fldChar w:fldCharType="separate"/>
            </w:r>
            <w:r>
              <w:rPr>
                <w:rFonts w:ascii="仿宋" w:hAnsi="仿宋" w:eastAsia="仿宋"/>
                <w:kern w:val="0"/>
                <w:sz w:val="28"/>
                <w:szCs w:val="28"/>
              </w:rPr>
              <w:t>2021-1758T-YS</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二氧化碳排放核算与报告要求 多晶硅企业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2021-1717T-HG</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二氧化碳排放核算与报告要求 合成氨企业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2021-1718T-HG</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二氧化碳排放核算与报告要求 甲醇企业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2021-1720T-HG</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二氧化碳排放核算与报告要求 轮胎企业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"http://219.239.107.155:8080/TaskBook.aspx?id=20211773TJC" </w:instrText>
            </w:r>
            <w:r>
              <w:fldChar w:fldCharType="separate"/>
            </w:r>
            <w:r>
              <w:rPr>
                <w:rFonts w:ascii="仿宋" w:hAnsi="仿宋" w:eastAsia="仿宋"/>
                <w:kern w:val="0"/>
                <w:sz w:val="28"/>
                <w:szCs w:val="28"/>
              </w:rPr>
              <w:t>2021-1773T-JC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二氧化碳排放核算与报告要求 耐火材料企业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2021-1721T-HG</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二氧化碳排放核算与报告要求 染料企业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"http://219.239.107.155:8080/TaskBook.aspx?id=20211772TJC" </w:instrText>
            </w:r>
            <w:r>
              <w:fldChar w:fldCharType="separate"/>
            </w:r>
            <w:r>
              <w:rPr>
                <w:rFonts w:ascii="仿宋" w:hAnsi="仿宋" w:eastAsia="仿宋"/>
                <w:kern w:val="0"/>
                <w:sz w:val="28"/>
                <w:szCs w:val="28"/>
              </w:rPr>
              <w:t>2021-1772T-JC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二氧化碳排放核算与报告要求 石灰企业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w:t>
            </w:r>
            <w:r>
              <w:rPr>
                <w:rFonts w:eastAsia="仿宋" w:cs="Calibri"/>
                <w:kern w:val="0"/>
                <w:sz w:val="28"/>
                <w:szCs w:val="28"/>
              </w:rPr>
              <w:t> </w:t>
            </w:r>
            <w:r>
              <w:rPr>
                <w:rFonts w:ascii="仿宋" w:hAnsi="仿宋" w:eastAsia="仿宋"/>
                <w:kern w:val="0"/>
                <w:sz w:val="28"/>
                <w:szCs w:val="28"/>
              </w:rPr>
              <w:t>33755-2017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基于项目的温室气体减排量评估技术规范  </w:t>
            </w:r>
            <w:r>
              <w:rPr>
                <w:rFonts w:hint="eastAsia" w:ascii="仿宋" w:hAnsi="仿宋" w:eastAsia="仿宋"/>
                <w:kern w:val="0"/>
                <w:sz w:val="28"/>
                <w:szCs w:val="28"/>
              </w:rPr>
              <w:t>钢铁行业余能利用</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w:t>
            </w:r>
            <w:r>
              <w:rPr>
                <w:rFonts w:eastAsia="仿宋" w:cs="Calibri"/>
                <w:kern w:val="0"/>
                <w:sz w:val="28"/>
                <w:szCs w:val="28"/>
              </w:rPr>
              <w:t> </w:t>
            </w:r>
            <w:r>
              <w:rPr>
                <w:rFonts w:ascii="仿宋" w:hAnsi="仿宋" w:eastAsia="仿宋"/>
                <w:kern w:val="0"/>
                <w:sz w:val="28"/>
                <w:szCs w:val="28"/>
              </w:rPr>
              <w:t>33756-2017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基于项目的温室气体减排量评估技术规范 </w:t>
            </w:r>
            <w:r>
              <w:rPr>
                <w:rFonts w:hint="eastAsia" w:ascii="仿宋" w:hAnsi="仿宋" w:eastAsia="仿宋"/>
                <w:kern w:val="0"/>
                <w:sz w:val="28"/>
                <w:szCs w:val="28"/>
              </w:rPr>
              <w:t>生产水泥熟料的原料替代项目</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33760-2017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基于项目的温室气体减排量评估技术规范 </w:t>
            </w:r>
            <w:r>
              <w:rPr>
                <w:rFonts w:hint="eastAsia" w:ascii="仿宋" w:hAnsi="仿宋" w:eastAsia="仿宋"/>
                <w:kern w:val="0"/>
                <w:sz w:val="28"/>
                <w:szCs w:val="28"/>
              </w:rPr>
              <w:t>通用要求</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20193354-T-303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基于项目的温室气体减排量评估技术规范 </w:t>
            </w:r>
            <w:r>
              <w:rPr>
                <w:rFonts w:hint="eastAsia" w:ascii="仿宋" w:hAnsi="仿宋" w:eastAsia="仿宋"/>
                <w:kern w:val="0"/>
                <w:sz w:val="28"/>
                <w:szCs w:val="28"/>
              </w:rPr>
              <w:t>废气废水处理及废渣回收</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"http://219.239.107.155:8080/TaskBook.aspx?id=20211805TFZ" </w:instrText>
            </w:r>
            <w:r>
              <w:fldChar w:fldCharType="separate"/>
            </w:r>
            <w:r>
              <w:rPr>
                <w:rFonts w:ascii="仿宋" w:hAnsi="仿宋" w:eastAsia="仿宋"/>
                <w:kern w:val="0"/>
                <w:sz w:val="28"/>
                <w:szCs w:val="28"/>
              </w:rPr>
              <w:t>2021-1805T-FZ</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基于项目的二氧化碳减排量评估技术规范 定型机余热回收</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"http://219.239.107.155:8080/TaskBook.aspx?id=20211743TYB" </w:instrText>
            </w:r>
            <w:r>
              <w:fldChar w:fldCharType="separate"/>
            </w:r>
            <w:r>
              <w:rPr>
                <w:rFonts w:ascii="仿宋" w:hAnsi="仿宋" w:eastAsia="仿宋"/>
                <w:kern w:val="0"/>
                <w:sz w:val="28"/>
                <w:szCs w:val="28"/>
              </w:rPr>
              <w:t>2021-1738T-YB</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基于项目的二氧化碳减排量评估技术规范 高炉大比例球团冶炼</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"http://219.239.107.155:8080/TaskBook.aspx?id=20211774TJC" </w:instrText>
            </w:r>
            <w:r>
              <w:fldChar w:fldCharType="separate"/>
            </w:r>
            <w:r>
              <w:rPr>
                <w:rFonts w:ascii="仿宋" w:hAnsi="仿宋" w:eastAsia="仿宋"/>
                <w:kern w:val="0"/>
                <w:sz w:val="28"/>
                <w:szCs w:val="28"/>
              </w:rPr>
              <w:t>2021-1774T-JC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基于项目的二氧化碳减排量评估技术规范 生产水泥熟料的燃料替代项目</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"http://219.239.107.155:8080/TaskBook.aspx?id=20211775TJC" </w:instrText>
            </w:r>
            <w:r>
              <w:fldChar w:fldCharType="separate"/>
            </w:r>
            <w:r>
              <w:rPr>
                <w:rFonts w:ascii="仿宋" w:hAnsi="仿宋" w:eastAsia="仿宋"/>
                <w:kern w:val="0"/>
                <w:sz w:val="28"/>
                <w:szCs w:val="28"/>
              </w:rPr>
              <w:t>2021-1775T-JC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基于项目的二氧化碳减排量评估技术规范 水泥窑烟气碳捕集项目</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20220843-T-469</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基于项目的温室气体减排量评估技术规范 </w:t>
            </w:r>
            <w:r>
              <w:rPr>
                <w:rFonts w:hint="eastAsia" w:ascii="仿宋" w:hAnsi="仿宋" w:eastAsia="仿宋"/>
                <w:kern w:val="0"/>
                <w:sz w:val="28"/>
                <w:szCs w:val="28"/>
              </w:rPr>
              <w:t>农林生物质发电及热电联产项目</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20220859-T-333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基于项目的温室气体减排量评估技术规范 </w:t>
            </w:r>
            <w:r>
              <w:rPr>
                <w:rFonts w:hint="eastAsia" w:ascii="仿宋" w:hAnsi="仿宋" w:eastAsia="仿宋"/>
                <w:kern w:val="0"/>
                <w:sz w:val="28"/>
                <w:szCs w:val="28"/>
              </w:rPr>
              <w:t>建筑用木质构配件</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20220852-T-326</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基于项目的温室气体减排量评估技术规范 </w:t>
            </w:r>
            <w:r>
              <w:rPr>
                <w:rFonts w:hint="eastAsia" w:ascii="仿宋" w:hAnsi="仿宋" w:eastAsia="仿宋"/>
                <w:kern w:val="0"/>
                <w:sz w:val="28"/>
                <w:szCs w:val="28"/>
              </w:rPr>
              <w:t>农村沼气工程</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20220846-T-469</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基于项目的温室气体减排量评估技术规范 </w:t>
            </w:r>
            <w:r>
              <w:rPr>
                <w:rFonts w:hint="eastAsia" w:ascii="仿宋" w:hAnsi="仿宋" w:eastAsia="仿宋"/>
                <w:kern w:val="0"/>
                <w:sz w:val="28"/>
                <w:szCs w:val="28"/>
              </w:rPr>
              <w:t>太阳能热利用</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2021-1716T-HG/SH</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石化化工行业 基于项目的二氧化碳减排量评估通用要求</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SJ/T 11735-2019</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产品碳足迹 </w:t>
            </w:r>
            <w:r>
              <w:rPr>
                <w:rFonts w:hint="eastAsia" w:ascii="仿宋" w:hAnsi="仿宋" w:eastAsia="仿宋"/>
                <w:kern w:val="0"/>
                <w:sz w:val="28"/>
                <w:szCs w:val="28"/>
              </w:rPr>
              <w:t>产品种类规则</w:t>
            </w:r>
            <w:r>
              <w:rPr>
                <w:rFonts w:ascii="仿宋" w:hAnsi="仿宋" w:eastAsia="仿宋"/>
                <w:kern w:val="0"/>
                <w:sz w:val="28"/>
                <w:szCs w:val="28"/>
              </w:rPr>
              <w:t xml:space="preserve"> </w:t>
            </w:r>
            <w:r>
              <w:rPr>
                <w:rFonts w:hint="eastAsia" w:ascii="仿宋" w:hAnsi="仿宋" w:eastAsia="仿宋"/>
                <w:kern w:val="0"/>
                <w:sz w:val="28"/>
                <w:szCs w:val="28"/>
              </w:rPr>
              <w:t>便携式计算机</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SJ/T 11736-2019</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产品碳足迹 </w:t>
            </w:r>
            <w:r>
              <w:rPr>
                <w:rFonts w:hint="eastAsia" w:ascii="仿宋" w:hAnsi="仿宋" w:eastAsia="仿宋"/>
                <w:kern w:val="0"/>
                <w:sz w:val="28"/>
                <w:szCs w:val="28"/>
              </w:rPr>
              <w:t>产品种类规则</w:t>
            </w:r>
            <w:r>
              <w:rPr>
                <w:rFonts w:ascii="仿宋" w:hAnsi="仿宋" w:eastAsia="仿宋"/>
                <w:kern w:val="0"/>
                <w:sz w:val="28"/>
                <w:szCs w:val="28"/>
              </w:rPr>
              <w:t xml:space="preserve"> </w:t>
            </w:r>
            <w:r>
              <w:rPr>
                <w:rFonts w:hint="eastAsia" w:ascii="仿宋" w:hAnsi="仿宋" w:eastAsia="仿宋"/>
                <w:kern w:val="0"/>
                <w:sz w:val="28"/>
                <w:szCs w:val="28"/>
              </w:rPr>
              <w:t>台式微型计算机</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SJ/T 11718-2018</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产品碳足迹 </w:t>
            </w:r>
            <w:r>
              <w:rPr>
                <w:rFonts w:hint="eastAsia" w:ascii="仿宋" w:hAnsi="仿宋" w:eastAsia="仿宋"/>
                <w:kern w:val="0"/>
                <w:sz w:val="28"/>
                <w:szCs w:val="28"/>
              </w:rPr>
              <w:t>产品种类规则</w:t>
            </w:r>
            <w:r>
              <w:rPr>
                <w:rFonts w:ascii="仿宋" w:hAnsi="仿宋" w:eastAsia="仿宋"/>
                <w:kern w:val="0"/>
                <w:sz w:val="28"/>
                <w:szCs w:val="28"/>
              </w:rPr>
              <w:t xml:space="preserve"> </w:t>
            </w:r>
            <w:r>
              <w:rPr>
                <w:rFonts w:hint="eastAsia" w:ascii="仿宋" w:hAnsi="仿宋" w:eastAsia="仿宋"/>
                <w:kern w:val="0"/>
                <w:sz w:val="28"/>
                <w:szCs w:val="28"/>
              </w:rPr>
              <w:t>液晶电视机</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SJ/T 11717-2018</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产品碳足迹 </w:t>
            </w:r>
            <w:r>
              <w:rPr>
                <w:rFonts w:hint="eastAsia" w:ascii="仿宋" w:hAnsi="仿宋" w:eastAsia="仿宋"/>
                <w:kern w:val="0"/>
                <w:sz w:val="28"/>
                <w:szCs w:val="28"/>
              </w:rPr>
              <w:t>产品种类规则</w:t>
            </w:r>
            <w:r>
              <w:rPr>
                <w:rFonts w:ascii="仿宋" w:hAnsi="仿宋" w:eastAsia="仿宋"/>
                <w:kern w:val="0"/>
                <w:sz w:val="28"/>
                <w:szCs w:val="28"/>
              </w:rPr>
              <w:t xml:space="preserve"> </w:t>
            </w:r>
            <w:r>
              <w:rPr>
                <w:rFonts w:hint="eastAsia" w:ascii="仿宋" w:hAnsi="仿宋" w:eastAsia="仿宋"/>
                <w:kern w:val="0"/>
                <w:sz w:val="28"/>
                <w:szCs w:val="28"/>
              </w:rPr>
              <w:t>液晶显示器</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"http://219.239.107.155:8080/TaskBook.aspx?id=20211807TFZ" </w:instrText>
            </w:r>
            <w:r>
              <w:fldChar w:fldCharType="separate"/>
            </w:r>
            <w:r>
              <w:rPr>
                <w:rFonts w:ascii="仿宋" w:hAnsi="仿宋" w:eastAsia="仿宋"/>
                <w:kern w:val="0"/>
                <w:sz w:val="28"/>
                <w:szCs w:val="28"/>
              </w:rPr>
              <w:t>2021-1807T-FZ</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产品碳足迹 产品种类规则 纺织产品</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"http://219.239.107.155:8080/TaskBook.aspx?id=20211808TSJ" </w:instrText>
            </w:r>
            <w:r>
              <w:fldChar w:fldCharType="separate"/>
            </w:r>
            <w:r>
              <w:rPr>
                <w:rFonts w:ascii="仿宋" w:hAnsi="仿宋" w:eastAsia="仿宋"/>
                <w:kern w:val="0"/>
                <w:sz w:val="28"/>
                <w:szCs w:val="28"/>
              </w:rPr>
              <w:t>2021-1808T-SJ</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产品碳足迹 产品种类规则 光伏组件</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"http://219.239.107.155:8080/TaskBook.aspx?id=20211782TJC" </w:instrText>
            </w:r>
            <w:r>
              <w:fldChar w:fldCharType="separate"/>
            </w:r>
            <w:r>
              <w:rPr>
                <w:rFonts w:ascii="仿宋" w:hAnsi="仿宋" w:eastAsia="仿宋"/>
                <w:kern w:val="0"/>
                <w:sz w:val="28"/>
                <w:szCs w:val="28"/>
              </w:rPr>
              <w:t>2021-1782T-JC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产品碳足迹 产品种类规则 建筑卫生陶瓷</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"http://219.239.107.155:8080/TaskBook.aspx?id=20211777TJC" </w:instrText>
            </w:r>
            <w:r>
              <w:fldChar w:fldCharType="separate"/>
            </w:r>
            <w:r>
              <w:rPr>
                <w:rFonts w:ascii="仿宋" w:hAnsi="仿宋" w:eastAsia="仿宋"/>
                <w:kern w:val="0"/>
                <w:sz w:val="28"/>
                <w:szCs w:val="28"/>
              </w:rPr>
              <w:t>2021-1777T-JC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产品碳足迹 产品种类规则 金属复合装饰材料</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"http://219.239.107.155:8080/TaskBook.aspx?id=20211776TJC" </w:instrText>
            </w:r>
            <w:r>
              <w:fldChar w:fldCharType="separate"/>
            </w:r>
            <w:r>
              <w:rPr>
                <w:rFonts w:ascii="仿宋" w:hAnsi="仿宋" w:eastAsia="仿宋"/>
                <w:kern w:val="0"/>
                <w:sz w:val="28"/>
                <w:szCs w:val="28"/>
              </w:rPr>
              <w:t>2021-1776T-JC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产品碳足迹 产品种类规则 平板玻璃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"http://219.239.107.155:8080/TaskBook.aspx?id=20211781TJC" </w:instrText>
            </w:r>
            <w:r>
              <w:fldChar w:fldCharType="separate"/>
            </w:r>
            <w:r>
              <w:rPr>
                <w:rFonts w:ascii="仿宋" w:hAnsi="仿宋" w:eastAsia="仿宋"/>
                <w:kern w:val="0"/>
                <w:sz w:val="28"/>
                <w:szCs w:val="28"/>
              </w:rPr>
              <w:t>2021-1781T-JC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产品碳足迹 产品种类规则 墙体材料</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"http://219.239.107.155:8080/TaskBook.aspx?id=20211778TJC" </w:instrText>
            </w:r>
            <w:r>
              <w:fldChar w:fldCharType="separate"/>
            </w:r>
            <w:r>
              <w:rPr>
                <w:rFonts w:ascii="仿宋" w:hAnsi="仿宋" w:eastAsia="仿宋"/>
                <w:kern w:val="0"/>
                <w:sz w:val="28"/>
                <w:szCs w:val="28"/>
              </w:rPr>
              <w:t>2021-1778T-JC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产品碳足迹 产品种类规则 人造板和木质地板</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2021-1722T-SH</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产品碳足迹 产品种类规则 石化产品</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"http://219.239.107.155:8080/TaskBook.aspx?id=20211780TJC" </w:instrText>
            </w:r>
            <w:r>
              <w:fldChar w:fldCharType="separate"/>
            </w:r>
            <w:r>
              <w:rPr>
                <w:rFonts w:ascii="仿宋" w:hAnsi="仿宋" w:eastAsia="仿宋"/>
                <w:kern w:val="0"/>
                <w:sz w:val="28"/>
                <w:szCs w:val="28"/>
              </w:rPr>
              <w:t>2021-1780T-JC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产品碳足迹 产品种类规则 岩（矿）棉及其制品</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"http://219.239.107.155:8080/TaskBook.aspx?id=20211779TJC" </w:instrText>
            </w:r>
            <w:r>
              <w:fldChar w:fldCharType="separate"/>
            </w:r>
            <w:r>
              <w:rPr>
                <w:rFonts w:ascii="仿宋" w:hAnsi="仿宋" w:eastAsia="仿宋"/>
                <w:kern w:val="0"/>
                <w:sz w:val="28"/>
                <w:szCs w:val="28"/>
              </w:rPr>
              <w:t>2021-1779T-JC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产品碳足迹 产品种类规则 预拌砂浆</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YS/T 800-2012</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电解铝生产二氧化碳排放量测算方法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HG/T 4487-2012</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合成氨生产企业二氧化碳（CO</w:t>
            </w:r>
            <w:r>
              <w:rPr>
                <w:rFonts w:ascii="仿宋" w:hAnsi="仿宋" w:eastAsia="仿宋"/>
                <w:kern w:val="0"/>
                <w:sz w:val="28"/>
                <w:szCs w:val="28"/>
                <w:vertAlign w:val="subscript"/>
              </w:rPr>
              <w:t>2</w:t>
            </w:r>
            <w:r>
              <w:rPr>
                <w:rFonts w:hint="eastAsia" w:ascii="仿宋" w:hAnsi="仿宋" w:eastAsia="仿宋"/>
                <w:kern w:val="0"/>
                <w:sz w:val="28"/>
                <w:szCs w:val="28"/>
              </w:rPr>
              <w:t>）排放量计算方法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HG/T 4820-2015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化工企业水网络系统二氧化碳(CO</w:t>
            </w:r>
            <w:r>
              <w:rPr>
                <w:rFonts w:ascii="仿宋" w:hAnsi="仿宋" w:eastAsia="仿宋"/>
                <w:kern w:val="0"/>
                <w:sz w:val="28"/>
                <w:szCs w:val="28"/>
                <w:vertAlign w:val="subscript"/>
              </w:rPr>
              <w:t>2</w:t>
            </w:r>
            <w:r>
              <w:rPr>
                <w:rFonts w:ascii="仿宋" w:hAnsi="仿宋" w:eastAsia="仿宋"/>
                <w:kern w:val="0"/>
                <w:sz w:val="28"/>
                <w:szCs w:val="28"/>
              </w:rPr>
              <w:t>)</w:t>
            </w:r>
            <w:r>
              <w:rPr>
                <w:rFonts w:hint="eastAsia" w:ascii="仿宋" w:hAnsi="仿宋" w:eastAsia="仿宋"/>
                <w:kern w:val="0"/>
                <w:sz w:val="28"/>
                <w:szCs w:val="28"/>
              </w:rPr>
              <w:t>排放量计算方法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SH/T 5000-2011</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石油化工生产企业CO</w:t>
            </w:r>
            <w:r>
              <w:rPr>
                <w:rFonts w:ascii="仿宋" w:hAnsi="仿宋" w:eastAsia="仿宋"/>
                <w:kern w:val="0"/>
                <w:sz w:val="28"/>
                <w:szCs w:val="28"/>
                <w:vertAlign w:val="subscript"/>
              </w:rPr>
              <w:t>2</w:t>
            </w:r>
            <w:r>
              <w:rPr>
                <w:rFonts w:hint="eastAsia" w:ascii="仿宋" w:hAnsi="仿宋" w:eastAsia="仿宋"/>
                <w:kern w:val="0"/>
                <w:sz w:val="28"/>
                <w:szCs w:val="28"/>
              </w:rPr>
              <w:t>排放量计算方法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HG/T 4488-2012</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硝酸生产企业氧化亚氮（N</w:t>
            </w:r>
            <w:r>
              <w:rPr>
                <w:rFonts w:ascii="仿宋" w:hAnsi="仿宋" w:eastAsia="仿宋"/>
                <w:kern w:val="0"/>
                <w:sz w:val="28"/>
                <w:szCs w:val="28"/>
                <w:vertAlign w:val="subscript"/>
              </w:rPr>
              <w:t>2</w:t>
            </w:r>
            <w:r>
              <w:rPr>
                <w:rFonts w:ascii="仿宋" w:hAnsi="仿宋" w:eastAsia="仿宋"/>
                <w:kern w:val="0"/>
                <w:sz w:val="28"/>
                <w:szCs w:val="28"/>
              </w:rPr>
              <w:t>O</w:t>
            </w:r>
            <w:r>
              <w:rPr>
                <w:rFonts w:hint="eastAsia" w:ascii="仿宋" w:hAnsi="仿宋" w:eastAsia="仿宋"/>
                <w:kern w:val="0"/>
                <w:sz w:val="28"/>
                <w:szCs w:val="28"/>
              </w:rPr>
              <w:t>）排放量计算方法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"http://219.239.107.155:8080/TaskBook.aspx?id=20211744TYB" </w:instrText>
            </w:r>
            <w:r>
              <w:fldChar w:fldCharType="separate"/>
            </w:r>
            <w:r>
              <w:rPr>
                <w:rFonts w:ascii="仿宋" w:hAnsi="仿宋" w:eastAsia="仿宋"/>
                <w:kern w:val="0"/>
                <w:sz w:val="28"/>
                <w:szCs w:val="28"/>
              </w:rPr>
              <w:t>2021-1739T-YB</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钢铁产品碳足迹评估通用要求</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2019-0392T-YB</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钢铁企业碳减排成本核算方法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2018-0453T-YB</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钢铁企业碳平衡编制方法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温室气体核算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80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20220841-T-469</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碳捕集、利用与封存（CCUS</w:t>
            </w:r>
            <w:r>
              <w:rPr>
                <w:rFonts w:hint="eastAsia" w:ascii="仿宋" w:hAnsi="仿宋" w:eastAsia="仿宋"/>
                <w:kern w:val="0"/>
                <w:sz w:val="28"/>
                <w:szCs w:val="28"/>
              </w:rPr>
              <w:t>）项目温室气体减排量化和核查技术规范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81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"http://219.239.107.155:8080/TaskBook.aspx?id=20211783TJC" </w:instrText>
            </w:r>
            <w:r>
              <w:fldChar w:fldCharType="separate"/>
            </w:r>
            <w:r>
              <w:rPr>
                <w:rFonts w:ascii="仿宋" w:hAnsi="仿宋" w:eastAsia="仿宋"/>
                <w:kern w:val="0"/>
                <w:sz w:val="28"/>
                <w:szCs w:val="28"/>
              </w:rPr>
              <w:t>2021-1783T-JC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水泥制造碳排放核查技术规范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82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"http://219.239.107.155:8080/TaskBook.aspx?id=20211745TYB" </w:instrText>
            </w:r>
            <w:r>
              <w:fldChar w:fldCharType="separate"/>
            </w:r>
            <w:r>
              <w:rPr>
                <w:rFonts w:ascii="仿宋" w:hAnsi="仿宋" w:eastAsia="仿宋"/>
                <w:kern w:val="0"/>
                <w:sz w:val="28"/>
                <w:szCs w:val="28"/>
              </w:rPr>
              <w:t>2021-1740T-YB</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钢铁企业碳排放核查技术规范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83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"http://219.239.107.155:8080/TaskBook.aspx?id=20211784TJC" </w:instrText>
            </w:r>
            <w:r>
              <w:fldChar w:fldCharType="separate"/>
            </w:r>
            <w:r>
              <w:rPr>
                <w:rFonts w:ascii="仿宋" w:hAnsi="仿宋" w:eastAsia="仿宋"/>
                <w:kern w:val="0"/>
                <w:sz w:val="28"/>
                <w:szCs w:val="28"/>
              </w:rPr>
              <w:t>2021-1784T-JC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平板玻璃制造碳排放核查技术规范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84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20193353-T-303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温室气体审定核查组及审定核查员资质条件要求</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85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20090162-T-469</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 - </w:t>
            </w:r>
            <w:r>
              <w:rPr>
                <w:rFonts w:hint="eastAsia" w:ascii="仿宋" w:hAnsi="仿宋" w:eastAsia="仿宋"/>
                <w:kern w:val="0"/>
                <w:sz w:val="28"/>
                <w:szCs w:val="28"/>
              </w:rPr>
              <w:t>用于对温室气体审定和核查机构的资格认证或其他形式认可的要求</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温室气体核查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5"/>
            <w:shd w:val="clear" w:color="auto" w:fill="auto"/>
            <w:vAlign w:val="center"/>
          </w:tcPr>
          <w:p>
            <w:pPr>
              <w:widowControl/>
              <w:spacing w:beforeLines="0" w:afterLines="0" w:line="360" w:lineRule="exact"/>
              <w:ind w:firstLine="0" w:firstLineChars="0"/>
              <w:jc w:val="left"/>
              <w:rPr>
                <w:rFonts w:ascii="仿宋" w:hAnsi="仿宋" w:eastAsia="仿宋" w:cs="宋体"/>
                <w:b/>
                <w:bCs/>
                <w:kern w:val="0"/>
                <w:sz w:val="28"/>
                <w:szCs w:val="28"/>
              </w:rPr>
            </w:pPr>
            <w:r>
              <w:rPr>
                <w:rFonts w:hint="eastAsia" w:ascii="仿宋" w:hAnsi="仿宋" w:eastAsia="仿宋" w:cs="宋体"/>
                <w:b/>
                <w:bCs/>
                <w:kern w:val="0"/>
                <w:sz w:val="28"/>
                <w:szCs w:val="28"/>
              </w:rPr>
              <w:t>三、技术与装备标准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"http://219.239.107.155:8080/TaskBook.aspx?id=20211735TYB" </w:instrText>
            </w:r>
            <w:r>
              <w:fldChar w:fldCharType="separate"/>
            </w:r>
            <w:r>
              <w:rPr>
                <w:rFonts w:ascii="仿宋" w:hAnsi="仿宋" w:eastAsia="仿宋"/>
                <w:kern w:val="0"/>
                <w:sz w:val="28"/>
                <w:szCs w:val="28"/>
              </w:rPr>
              <w:t>2021-1741T-YB</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钢铁企业低碳设计导则</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源头控制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2021-1724T-HG</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硝酸行业氧化亚氮减排技术规范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生产过程控制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34236-2017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二氧化碳制甲醇技术导则</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34250-2017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二氧化碳制甲醇安全技术规程</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20211022-T-469</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二氧化碳捕集、输送和地质封存 </w:t>
            </w:r>
            <w:r>
              <w:rPr>
                <w:rFonts w:hint="eastAsia" w:ascii="仿宋" w:hAnsi="仿宋" w:eastAsia="仿宋"/>
                <w:kern w:val="0"/>
                <w:sz w:val="28"/>
                <w:szCs w:val="28"/>
              </w:rPr>
              <w:t>管道输送系统</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20220824-T-605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钢渣碳酸化固定二氧化碳含量的测定方法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YB/T 4890-2021</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钢铁企业O</w:t>
            </w:r>
            <w:r>
              <w:rPr>
                <w:rFonts w:ascii="仿宋" w:hAnsi="仿宋" w:eastAsia="仿宋"/>
                <w:kern w:val="0"/>
                <w:sz w:val="28"/>
                <w:szCs w:val="28"/>
                <w:vertAlign w:val="subscript"/>
              </w:rPr>
              <w:t>2</w:t>
            </w:r>
            <w:r>
              <w:rPr>
                <w:rFonts w:ascii="仿宋" w:hAnsi="仿宋" w:eastAsia="仿宋"/>
                <w:kern w:val="0"/>
                <w:sz w:val="28"/>
                <w:szCs w:val="28"/>
              </w:rPr>
              <w:t>-CO</w:t>
            </w:r>
            <w:r>
              <w:rPr>
                <w:rFonts w:ascii="仿宋" w:hAnsi="仿宋" w:eastAsia="仿宋"/>
                <w:kern w:val="0"/>
                <w:sz w:val="28"/>
                <w:szCs w:val="28"/>
                <w:vertAlign w:val="subscript"/>
              </w:rPr>
              <w:t>2</w:t>
            </w:r>
            <w:r>
              <w:rPr>
                <w:rFonts w:hint="eastAsia" w:ascii="仿宋" w:hAnsi="仿宋" w:eastAsia="仿宋"/>
                <w:kern w:val="0"/>
                <w:sz w:val="28"/>
                <w:szCs w:val="28"/>
              </w:rPr>
              <w:t>气体混合利用技术规范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YB/T 4891.1-2021</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钢铁企业二氧化碳利用技术规范 </w:t>
            </w:r>
            <w:r>
              <w:rPr>
                <w:rFonts w:hint="eastAsia" w:ascii="仿宋" w:hAnsi="仿宋" w:eastAsia="仿宋"/>
                <w:kern w:val="0"/>
                <w:sz w:val="28"/>
                <w:szCs w:val="28"/>
              </w:rPr>
              <w:t>第</w:t>
            </w:r>
            <w:r>
              <w:rPr>
                <w:rFonts w:ascii="仿宋" w:hAnsi="仿宋" w:eastAsia="仿宋"/>
                <w:kern w:val="0"/>
                <w:sz w:val="28"/>
                <w:szCs w:val="28"/>
              </w:rPr>
              <w:t>1</w:t>
            </w:r>
            <w:r>
              <w:rPr>
                <w:rFonts w:hint="eastAsia" w:ascii="仿宋" w:hAnsi="仿宋" w:eastAsia="仿宋"/>
                <w:kern w:val="0"/>
                <w:sz w:val="28"/>
                <w:szCs w:val="28"/>
              </w:rPr>
              <w:t>部分：用于转炉底吹</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YB/T 4891.2-2021</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钢铁企业二氧化碳利用技术规范 </w:t>
            </w:r>
            <w:r>
              <w:rPr>
                <w:rFonts w:hint="eastAsia" w:ascii="仿宋" w:hAnsi="仿宋" w:eastAsia="仿宋"/>
                <w:kern w:val="0"/>
                <w:sz w:val="28"/>
                <w:szCs w:val="28"/>
              </w:rPr>
              <w:t>第</w:t>
            </w:r>
            <w:r>
              <w:rPr>
                <w:rFonts w:ascii="仿宋" w:hAnsi="仿宋" w:eastAsia="仿宋"/>
                <w:kern w:val="0"/>
                <w:sz w:val="28"/>
                <w:szCs w:val="28"/>
              </w:rPr>
              <w:t>2</w:t>
            </w:r>
            <w:r>
              <w:rPr>
                <w:rFonts w:hint="eastAsia" w:ascii="仿宋" w:hAnsi="仿宋" w:eastAsia="仿宋"/>
                <w:kern w:val="0"/>
                <w:sz w:val="28"/>
                <w:szCs w:val="28"/>
              </w:rPr>
              <w:t>部分：用于转炉顶吹</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YB/T 4891.3-2021</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钢铁企业二氧化碳利用技术规范 </w:t>
            </w:r>
            <w:r>
              <w:rPr>
                <w:rFonts w:hint="eastAsia" w:ascii="仿宋" w:hAnsi="仿宋" w:eastAsia="仿宋"/>
                <w:kern w:val="0"/>
                <w:sz w:val="28"/>
                <w:szCs w:val="28"/>
              </w:rPr>
              <w:t>第</w:t>
            </w:r>
            <w:r>
              <w:rPr>
                <w:rFonts w:ascii="仿宋" w:hAnsi="仿宋" w:eastAsia="仿宋"/>
                <w:kern w:val="0"/>
                <w:sz w:val="28"/>
                <w:szCs w:val="28"/>
              </w:rPr>
              <w:t>3</w:t>
            </w:r>
            <w:r>
              <w:rPr>
                <w:rFonts w:hint="eastAsia" w:ascii="仿宋" w:hAnsi="仿宋" w:eastAsia="仿宋"/>
                <w:kern w:val="0"/>
                <w:sz w:val="28"/>
                <w:szCs w:val="28"/>
              </w:rPr>
              <w:t>部分：用于电弧炉炼钢</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2020-0064T-YB</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钢铁企业二氧化碳循环利用技术规范 </w:t>
            </w:r>
            <w:r>
              <w:rPr>
                <w:rFonts w:hint="eastAsia" w:ascii="仿宋" w:hAnsi="仿宋" w:eastAsia="仿宋"/>
                <w:kern w:val="0"/>
                <w:sz w:val="28"/>
                <w:szCs w:val="28"/>
              </w:rPr>
              <w:t>第</w:t>
            </w:r>
            <w:r>
              <w:rPr>
                <w:rFonts w:ascii="仿宋" w:hAnsi="仿宋" w:eastAsia="仿宋"/>
                <w:kern w:val="0"/>
                <w:sz w:val="28"/>
                <w:szCs w:val="28"/>
              </w:rPr>
              <w:t xml:space="preserve"> 4 </w:t>
            </w:r>
            <w:r>
              <w:rPr>
                <w:rFonts w:hint="eastAsia" w:ascii="仿宋" w:hAnsi="仿宋" w:eastAsia="仿宋"/>
                <w:kern w:val="0"/>
                <w:sz w:val="28"/>
                <w:szCs w:val="28"/>
              </w:rPr>
              <w:t>部分：用于高炉炼铁</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2020-0203T-YB</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钢铁企业二氧化碳循环利用技术规范 </w:t>
            </w:r>
            <w:r>
              <w:rPr>
                <w:rFonts w:hint="eastAsia" w:ascii="仿宋" w:hAnsi="仿宋" w:eastAsia="仿宋"/>
                <w:kern w:val="0"/>
                <w:sz w:val="28"/>
                <w:szCs w:val="28"/>
              </w:rPr>
              <w:t>第</w:t>
            </w:r>
            <w:r>
              <w:rPr>
                <w:rFonts w:ascii="仿宋" w:hAnsi="仿宋" w:eastAsia="仿宋"/>
                <w:kern w:val="0"/>
                <w:sz w:val="28"/>
                <w:szCs w:val="28"/>
              </w:rPr>
              <w:t xml:space="preserve"> 5 </w:t>
            </w:r>
            <w:r>
              <w:rPr>
                <w:rFonts w:hint="eastAsia" w:ascii="仿宋" w:hAnsi="仿宋" w:eastAsia="仿宋"/>
                <w:kern w:val="0"/>
                <w:sz w:val="28"/>
                <w:szCs w:val="28"/>
              </w:rPr>
              <w:t>部分：用于钢水精炼</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2021-1727T-SH</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石化行业 二氧化碳捕集技术规范 溶剂和工艺类</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2021-1728T-SH</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石化行业 二氧化碳捕集技术规范 工程类</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"http://219.239.107.155:8080/TaskBook.aspx?id=20211787TJC" </w:instrText>
            </w:r>
            <w:r>
              <w:fldChar w:fldCharType="separate"/>
            </w:r>
            <w:r>
              <w:rPr>
                <w:rFonts w:ascii="仿宋" w:hAnsi="仿宋" w:eastAsia="仿宋"/>
                <w:kern w:val="0"/>
                <w:sz w:val="28"/>
                <w:szCs w:val="28"/>
              </w:rPr>
              <w:t>2021-1787T-JC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水泥制品养护固碳技术规范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"http://219.239.107.155:8080/TaskBook.aspx?id=20211788TJC" </w:instrText>
            </w:r>
            <w:r>
              <w:fldChar w:fldCharType="separate"/>
            </w:r>
            <w:r>
              <w:rPr>
                <w:rFonts w:ascii="仿宋" w:hAnsi="仿宋" w:eastAsia="仿宋"/>
                <w:kern w:val="0"/>
                <w:sz w:val="28"/>
                <w:szCs w:val="28"/>
              </w:rPr>
              <w:t>2021-1788T-JC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水泥窑烟气二氧化碳捕集技术规范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末端治理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"http://219.239.107.155:8080/TaskBook.aspx?id=20211785TJC" </w:instrText>
            </w:r>
            <w:r>
              <w:fldChar w:fldCharType="separate"/>
            </w:r>
            <w:r>
              <w:rPr>
                <w:rFonts w:ascii="仿宋" w:hAnsi="仿宋" w:eastAsia="仿宋"/>
                <w:kern w:val="0"/>
                <w:sz w:val="28"/>
                <w:szCs w:val="28"/>
              </w:rPr>
              <w:t>2021-1785T-JC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水泥熟料替代原料应用技术规范 电石渣</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协同降碳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"http://219.239.107.155:8080/TaskBook.aspx?id=20211786TJC" </w:instrText>
            </w:r>
            <w:r>
              <w:fldChar w:fldCharType="separate"/>
            </w:r>
            <w:r>
              <w:rPr>
                <w:rFonts w:ascii="仿宋" w:hAnsi="仿宋" w:eastAsia="仿宋"/>
                <w:kern w:val="0"/>
                <w:sz w:val="28"/>
                <w:szCs w:val="28"/>
              </w:rPr>
              <w:t>2021-1786T-JC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水泥熟料替代原料应用技术规范 煤矸石</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协同降碳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"http://219.239.107.155:8080/TaskBook.aspx?id=20211789TJC" </w:instrText>
            </w:r>
            <w:r>
              <w:fldChar w:fldCharType="separate"/>
            </w:r>
            <w:r>
              <w:rPr>
                <w:rFonts w:ascii="仿宋" w:hAnsi="仿宋" w:eastAsia="仿宋"/>
                <w:kern w:val="0"/>
                <w:sz w:val="28"/>
                <w:szCs w:val="28"/>
              </w:rPr>
              <w:t>2021-1789T-JC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水泥窑协同处置技术规范 生活垃圾预处理可燃物</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协同降碳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"http://219.239.107.155:8080/TaskBook.aspx?id=20211796TJC" </w:instrText>
            </w:r>
            <w:r>
              <w:fldChar w:fldCharType="separate"/>
            </w:r>
            <w:r>
              <w:rPr>
                <w:rFonts w:ascii="仿宋" w:hAnsi="仿宋" w:eastAsia="仿宋"/>
                <w:kern w:val="0"/>
                <w:sz w:val="28"/>
                <w:szCs w:val="28"/>
              </w:rPr>
              <w:t>2021-1790T-JC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水泥窑用生活垃圾预处理可燃物制备技术规范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协同降碳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"http://219.239.107.155:8080/TaskBook.aspx?id=20211798TJC" </w:instrText>
            </w:r>
            <w:r>
              <w:fldChar w:fldCharType="separate"/>
            </w:r>
            <w:r>
              <w:rPr>
                <w:rFonts w:ascii="仿宋" w:hAnsi="仿宋" w:eastAsia="仿宋"/>
                <w:kern w:val="0"/>
                <w:sz w:val="28"/>
                <w:szCs w:val="28"/>
              </w:rPr>
              <w:t>2021-1792T-JC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钢渣脱硫副产石膏在水泥企业应用技术规范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协同降碳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5000" w:type="pct"/>
            <w:gridSpan w:val="5"/>
            <w:shd w:val="clear" w:color="auto" w:fill="auto"/>
            <w:vAlign w:val="center"/>
          </w:tcPr>
          <w:p>
            <w:pPr>
              <w:widowControl/>
              <w:spacing w:beforeLines="0" w:afterLines="0" w:line="360" w:lineRule="exact"/>
              <w:ind w:firstLine="0" w:firstLineChars="0"/>
              <w:jc w:val="left"/>
              <w:rPr>
                <w:rFonts w:ascii="仿宋" w:hAnsi="仿宋" w:eastAsia="仿宋" w:cs="宋体"/>
                <w:b/>
                <w:bCs/>
                <w:kern w:val="0"/>
                <w:sz w:val="28"/>
                <w:szCs w:val="28"/>
              </w:rPr>
            </w:pPr>
            <w:r>
              <w:rPr>
                <w:rFonts w:hint="eastAsia" w:ascii="仿宋" w:hAnsi="仿宋" w:eastAsia="仿宋" w:cs="宋体"/>
                <w:b/>
                <w:bCs/>
                <w:kern w:val="0"/>
                <w:sz w:val="28"/>
                <w:szCs w:val="28"/>
              </w:rPr>
              <w:t>四、监测标准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8984-2008</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气体中一氧化碳、二氧化碳和碳氢化合物的测定 </w:t>
            </w:r>
            <w:r>
              <w:rPr>
                <w:rFonts w:hint="eastAsia" w:ascii="仿宋" w:hAnsi="仿宋" w:eastAsia="仿宋"/>
                <w:kern w:val="0"/>
                <w:sz w:val="28"/>
                <w:szCs w:val="28"/>
              </w:rPr>
              <w:t>气相色谱法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34286-2017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 </w:t>
            </w:r>
            <w:r>
              <w:rPr>
                <w:rFonts w:hint="eastAsia" w:ascii="仿宋" w:hAnsi="仿宋" w:eastAsia="仿宋"/>
                <w:kern w:val="0"/>
                <w:sz w:val="28"/>
                <w:szCs w:val="28"/>
              </w:rPr>
              <w:t>二氧化碳测量</w:t>
            </w:r>
            <w:r>
              <w:rPr>
                <w:rFonts w:ascii="仿宋" w:hAnsi="仿宋" w:eastAsia="仿宋"/>
                <w:kern w:val="0"/>
                <w:sz w:val="28"/>
                <w:szCs w:val="28"/>
              </w:rPr>
              <w:t xml:space="preserve"> </w:t>
            </w:r>
            <w:r>
              <w:rPr>
                <w:rFonts w:hint="eastAsia" w:ascii="仿宋" w:hAnsi="仿宋" w:eastAsia="仿宋"/>
                <w:kern w:val="0"/>
                <w:sz w:val="28"/>
                <w:szCs w:val="28"/>
              </w:rPr>
              <w:t>离轴积分腔输出光谱法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34287-2017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温室气体 </w:t>
            </w:r>
            <w:r>
              <w:rPr>
                <w:rFonts w:hint="eastAsia" w:ascii="仿宋" w:hAnsi="仿宋" w:eastAsia="仿宋"/>
                <w:kern w:val="0"/>
                <w:sz w:val="28"/>
                <w:szCs w:val="28"/>
              </w:rPr>
              <w:t>甲烷测量</w:t>
            </w:r>
            <w:r>
              <w:rPr>
                <w:rFonts w:ascii="仿宋" w:hAnsi="仿宋" w:eastAsia="仿宋"/>
                <w:kern w:val="0"/>
                <w:sz w:val="28"/>
                <w:szCs w:val="28"/>
              </w:rPr>
              <w:t xml:space="preserve"> </w:t>
            </w:r>
            <w:r>
              <w:rPr>
                <w:rFonts w:hint="eastAsia" w:ascii="仿宋" w:hAnsi="仿宋" w:eastAsia="仿宋"/>
                <w:kern w:val="0"/>
                <w:sz w:val="28"/>
                <w:szCs w:val="28"/>
              </w:rPr>
              <w:t>离轴积分腔输出光谱法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31705-2015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气相色谱法本底大气二氧化碳和甲烷浓度在线观测方法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31709-2015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气相色谱法本底大气二氧化碳和甲烷浓度在线观测数据处理方法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YS/T 801-2012</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电解铝生产全氟化碳排放量测定方法</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20191001-T-606</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 xml:space="preserve">气体分析 </w:t>
            </w:r>
            <w:r>
              <w:rPr>
                <w:rFonts w:hint="eastAsia" w:ascii="仿宋" w:hAnsi="仿宋" w:eastAsia="仿宋"/>
                <w:kern w:val="0"/>
                <w:sz w:val="28"/>
                <w:szCs w:val="28"/>
              </w:rPr>
              <w:t>一氧化碳含量、二氧化碳含量和氧气含量在线自动测量系统</w:t>
            </w:r>
            <w:r>
              <w:rPr>
                <w:rFonts w:ascii="仿宋" w:hAnsi="仿宋" w:eastAsia="仿宋"/>
                <w:kern w:val="0"/>
                <w:sz w:val="28"/>
                <w:szCs w:val="28"/>
              </w:rPr>
              <w:t xml:space="preserve"> </w:t>
            </w:r>
            <w:r>
              <w:rPr>
                <w:rFonts w:hint="eastAsia" w:ascii="仿宋" w:hAnsi="仿宋" w:eastAsia="仿宋"/>
                <w:kern w:val="0"/>
                <w:sz w:val="28"/>
                <w:szCs w:val="28"/>
              </w:rPr>
              <w:t>性能特征的确定</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监测分析方法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20161882-T-303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平板玻璃企业碳排放计量监测技术规程</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"http://219.239.107.155:8080/TaskBook.aspx?id=20211746TYB" </w:instrText>
            </w:r>
            <w:r>
              <w:fldChar w:fldCharType="separate"/>
            </w:r>
            <w:r>
              <w:rPr>
                <w:rFonts w:ascii="仿宋" w:hAnsi="仿宋" w:eastAsia="仿宋"/>
                <w:kern w:val="0"/>
                <w:sz w:val="28"/>
                <w:szCs w:val="28"/>
              </w:rPr>
              <w:t>2021-1751T-YB</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钢铁生产过程二氧化碳排放监测技术规范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"http://219.239.107.155:8080/TaskBook.aspx?id=20211747TYB" </w:instrText>
            </w:r>
            <w:r>
              <w:fldChar w:fldCharType="separate"/>
            </w:r>
            <w:r>
              <w:rPr>
                <w:rFonts w:ascii="仿宋" w:hAnsi="仿宋" w:eastAsia="仿宋"/>
                <w:kern w:val="0"/>
                <w:sz w:val="28"/>
                <w:szCs w:val="28"/>
              </w:rPr>
              <w:t>2021-1752T-YB</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冶金焦化生产过程二氧化碳排放监测技术规范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"http://219.239.107.155:8080/TaskBook.aspx?id=20211748TYB" </w:instrText>
            </w:r>
            <w:r>
              <w:fldChar w:fldCharType="separate"/>
            </w:r>
            <w:r>
              <w:rPr>
                <w:rFonts w:ascii="仿宋" w:hAnsi="仿宋" w:eastAsia="仿宋"/>
                <w:kern w:val="0"/>
                <w:sz w:val="28"/>
                <w:szCs w:val="28"/>
              </w:rPr>
              <w:t>2021-1753T-YB</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铁合金生产过程二氧化碳排放监测技术规范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"http://219.239.107.155:8080/TaskBook.aspx?id=20211790TJC" </w:instrText>
            </w:r>
            <w:r>
              <w:fldChar w:fldCharType="separate"/>
            </w:r>
            <w:r>
              <w:rPr>
                <w:rFonts w:ascii="仿宋" w:hAnsi="仿宋" w:eastAsia="仿宋"/>
                <w:kern w:val="0"/>
                <w:sz w:val="28"/>
                <w:szCs w:val="28"/>
              </w:rPr>
              <w:t>2021-1793T-JC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建材行业固定源二氧化碳排放在线监测技术要求</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"http://219.239.107.155:8080/TaskBook.aspx?id=20211809TSJ" </w:instrText>
            </w:r>
            <w:r>
              <w:fldChar w:fldCharType="separate"/>
            </w:r>
            <w:r>
              <w:rPr>
                <w:rFonts w:ascii="仿宋" w:hAnsi="仿宋" w:eastAsia="仿宋"/>
                <w:kern w:val="0"/>
                <w:sz w:val="28"/>
                <w:szCs w:val="28"/>
              </w:rPr>
              <w:t>2021-1809T-SJ</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电子行业碳排放监测技术规范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GB/T 34415-2017</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大气二氧化碳(CO</w:t>
            </w:r>
            <w:r>
              <w:rPr>
                <w:rFonts w:ascii="仿宋" w:hAnsi="仿宋" w:eastAsia="仿宋"/>
                <w:kern w:val="0"/>
                <w:sz w:val="28"/>
                <w:szCs w:val="28"/>
                <w:vertAlign w:val="subscript"/>
              </w:rPr>
              <w:t>2</w:t>
            </w:r>
            <w:r>
              <w:rPr>
                <w:rFonts w:ascii="仿宋" w:hAnsi="仿宋" w:eastAsia="仿宋"/>
                <w:kern w:val="0"/>
                <w:sz w:val="28"/>
                <w:szCs w:val="28"/>
              </w:rPr>
              <w:t>)</w:t>
            </w:r>
            <w:r>
              <w:rPr>
                <w:rFonts w:hint="eastAsia" w:ascii="仿宋" w:hAnsi="仿宋" w:eastAsia="仿宋"/>
                <w:kern w:val="0"/>
                <w:sz w:val="28"/>
                <w:szCs w:val="28"/>
              </w:rPr>
              <w:t>光腔衰荡光谱观测系统</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已发布</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监测设备及系统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000" w:type="pct"/>
            <w:gridSpan w:val="5"/>
            <w:shd w:val="clear" w:color="auto" w:fill="auto"/>
            <w:vAlign w:val="center"/>
          </w:tcPr>
          <w:p>
            <w:pPr>
              <w:widowControl/>
              <w:spacing w:beforeLines="0" w:afterLines="0" w:line="360" w:lineRule="exact"/>
              <w:ind w:firstLine="0" w:firstLineChars="0"/>
              <w:jc w:val="left"/>
              <w:rPr>
                <w:rFonts w:ascii="仿宋" w:hAnsi="仿宋" w:eastAsia="仿宋" w:cs="宋体"/>
                <w:b/>
                <w:bCs/>
                <w:kern w:val="0"/>
                <w:sz w:val="28"/>
                <w:szCs w:val="28"/>
              </w:rPr>
            </w:pPr>
            <w:r>
              <w:rPr>
                <w:rFonts w:hint="eastAsia" w:ascii="仿宋" w:hAnsi="仿宋" w:eastAsia="仿宋" w:cs="宋体"/>
                <w:b/>
                <w:bCs/>
                <w:kern w:val="0"/>
                <w:sz w:val="28"/>
                <w:szCs w:val="28"/>
              </w:rPr>
              <w:t>五、管理与评价标准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20192398-T-303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单位产品（服务）碳排放限额编制通则</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20161883-T-303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建材行业重点产品温室气体排放限额</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20193352-T-303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城市轨道交通单位产品温室气体排放限额</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20193351-T-303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石油和化学工业重点产品温室气体排放限额</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2021-0548T-YB</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钢铁行业轧钢工序单位产品碳排放限额</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2021-1734T-HG/SH</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石化化工行业单位产品碳排放限额编制导则</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"http://219.239.107.155:8080/TaskBook.aspx?id=20211792TJC" </w:instrText>
            </w:r>
            <w:r>
              <w:fldChar w:fldCharType="separate"/>
            </w:r>
            <w:r>
              <w:rPr>
                <w:rFonts w:ascii="仿宋" w:hAnsi="仿宋" w:eastAsia="仿宋"/>
                <w:kern w:val="0"/>
                <w:sz w:val="28"/>
                <w:szCs w:val="28"/>
              </w:rPr>
              <w:t>2021-1795T-JC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玻璃纤维单位产品碳排放限额</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"http://219.239.107.155:8080/TaskBook.aspx?id=20211793TJC" </w:instrText>
            </w:r>
            <w:r>
              <w:fldChar w:fldCharType="separate"/>
            </w:r>
            <w:r>
              <w:rPr>
                <w:rFonts w:ascii="仿宋" w:hAnsi="仿宋" w:eastAsia="仿宋"/>
                <w:kern w:val="0"/>
                <w:sz w:val="28"/>
                <w:szCs w:val="28"/>
              </w:rPr>
              <w:t>2021-1796T-JC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岩棉、矿渣棉及其制品单位产品碳排放限额</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"http://219.239.107.155:8080/TaskBook.aspx?id=20211794TJC" </w:instrText>
            </w:r>
            <w:r>
              <w:fldChar w:fldCharType="separate"/>
            </w:r>
            <w:r>
              <w:rPr>
                <w:rFonts w:ascii="仿宋" w:hAnsi="仿宋" w:eastAsia="仿宋"/>
                <w:kern w:val="0"/>
                <w:sz w:val="28"/>
                <w:szCs w:val="28"/>
              </w:rPr>
              <w:t>2021-1797T-JC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耐火材料单位产品碳排放限额</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"http://219.239.107.155:8080/TaskBook.aspx?id=20211795TJC" </w:instrText>
            </w:r>
            <w:r>
              <w:fldChar w:fldCharType="separate"/>
            </w:r>
            <w:r>
              <w:rPr>
                <w:rFonts w:ascii="仿宋" w:hAnsi="仿宋" w:eastAsia="仿宋"/>
                <w:kern w:val="0"/>
                <w:sz w:val="28"/>
                <w:szCs w:val="28"/>
              </w:rPr>
              <w:t>2021-1798T-JC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墙体材料单位产品碳排放限额</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20220851-T-606</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化工园区低碳运行管理规范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"http://219.239.107.155:8080/TaskBook.aspx?id=20211813TSJ" </w:instrText>
            </w:r>
            <w:r>
              <w:fldChar w:fldCharType="separate"/>
            </w:r>
            <w:r>
              <w:rPr>
                <w:rFonts w:ascii="仿宋" w:hAnsi="仿宋" w:eastAsia="仿宋"/>
                <w:kern w:val="0"/>
                <w:sz w:val="28"/>
                <w:szCs w:val="28"/>
              </w:rPr>
              <w:t>2021-1813T-SJ</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电子行业碳中和管理体系 通用要求</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"http://219.239.107.155:8080/TaskBook.aspx?id=20211814TSJ" </w:instrText>
            </w:r>
            <w:r>
              <w:fldChar w:fldCharType="separate"/>
            </w:r>
            <w:r>
              <w:rPr>
                <w:rFonts w:ascii="仿宋" w:hAnsi="仿宋" w:eastAsia="仿宋"/>
                <w:kern w:val="0"/>
                <w:sz w:val="28"/>
                <w:szCs w:val="28"/>
              </w:rPr>
              <w:t>2021-1814T-SJ</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电子行业碳中和管理体系 评估规范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"http://219.239.107.155:8080/TaskBook.aspx?id=20211815TSJ" </w:instrText>
            </w:r>
            <w:r>
              <w:fldChar w:fldCharType="separate"/>
            </w:r>
            <w:r>
              <w:rPr>
                <w:rFonts w:ascii="仿宋" w:hAnsi="仿宋" w:eastAsia="仿宋"/>
                <w:kern w:val="0"/>
                <w:sz w:val="28"/>
                <w:szCs w:val="28"/>
              </w:rPr>
              <w:t>2021-1815T-SJ</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电子行业碳中和管理体系 分级要求</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碳排放管理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20193355-T-303</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工业低碳企业评价通则</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低碳评价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20220823-T-605</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钢铁行业低碳企业评价指南</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低碳评价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17</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"http://219.239.107.155:8080/TaskBook.aspx?id=20211749TYB" </w:instrText>
            </w:r>
            <w:r>
              <w:fldChar w:fldCharType="separate"/>
            </w:r>
            <w:r>
              <w:rPr>
                <w:rFonts w:ascii="仿宋" w:hAnsi="仿宋" w:eastAsia="仿宋"/>
                <w:kern w:val="0"/>
                <w:sz w:val="28"/>
                <w:szCs w:val="28"/>
              </w:rPr>
              <w:t>2021-1736T-YB</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钢铁企业低碳发展对标指南</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低碳评价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18</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2021-1729T-HG/SH</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石化化工行业低碳产品评价导则</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低碳评价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19</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"http://219.239.107.155:8080/TaskBook.aspx?id=20211791TJC" </w:instrText>
            </w:r>
            <w:r>
              <w:fldChar w:fldCharType="separate"/>
            </w:r>
            <w:r>
              <w:rPr>
                <w:rFonts w:ascii="仿宋" w:hAnsi="仿宋" w:eastAsia="仿宋"/>
                <w:kern w:val="0"/>
                <w:sz w:val="28"/>
                <w:szCs w:val="28"/>
              </w:rPr>
              <w:t>2021-1794T-JC</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低碳产品评价技术规范 通用硅酸盐水泥</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低碳评价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20</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"http://219.239.107.155:8080/TaskBook.aspx?id=20211806TFZ" </w:instrText>
            </w:r>
            <w:r>
              <w:fldChar w:fldCharType="separate"/>
            </w:r>
            <w:r>
              <w:rPr>
                <w:rFonts w:ascii="仿宋" w:hAnsi="仿宋" w:eastAsia="仿宋"/>
                <w:kern w:val="0"/>
                <w:sz w:val="28"/>
                <w:szCs w:val="28"/>
              </w:rPr>
              <w:t>2021-1806T-FZ</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废旧纺织品回收利用碳减排评价导则</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低碳评价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21</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"http://219.239.107.155:8080/TaskBook.aspx?id=20211810TSJ" </w:instrText>
            </w:r>
            <w:r>
              <w:fldChar w:fldCharType="separate"/>
            </w:r>
            <w:r>
              <w:rPr>
                <w:rFonts w:ascii="仿宋" w:hAnsi="仿宋" w:eastAsia="仿宋"/>
                <w:kern w:val="0"/>
                <w:sz w:val="28"/>
                <w:szCs w:val="28"/>
              </w:rPr>
              <w:t>2021-1810T-SJ</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低碳产品评价技术规范 计算机</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低碳评价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22</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"http://219.239.107.155:8080/TaskBook.aspx?id=20211811TSJ" </w:instrText>
            </w:r>
            <w:r>
              <w:fldChar w:fldCharType="separate"/>
            </w:r>
            <w:r>
              <w:rPr>
                <w:rFonts w:ascii="仿宋" w:hAnsi="仿宋" w:eastAsia="仿宋"/>
                <w:kern w:val="0"/>
                <w:sz w:val="28"/>
                <w:szCs w:val="28"/>
              </w:rPr>
              <w:t>2021-1811T-SJ</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低碳产品评价技术规范 液晶电视机</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低碳评价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23</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"http://219.239.107.155:8080/TaskBook.aspx?id=20211812TSJ" </w:instrText>
            </w:r>
            <w:r>
              <w:fldChar w:fldCharType="separate"/>
            </w:r>
            <w:r>
              <w:rPr>
                <w:rFonts w:ascii="仿宋" w:hAnsi="仿宋" w:eastAsia="仿宋"/>
                <w:kern w:val="0"/>
                <w:sz w:val="28"/>
                <w:szCs w:val="28"/>
              </w:rPr>
              <w:t>2021-1812T-SJ</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低碳产品评价技术规范 光伏组件</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低碳评价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24</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2019-0363T-JC</w:t>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建材行业碳交易技术指南</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25</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"http://219.239.107.155:8080/TaskBook.aspx?id=20211750TYB" </w:instrText>
            </w:r>
            <w:r>
              <w:fldChar w:fldCharType="separate"/>
            </w:r>
            <w:r>
              <w:rPr>
                <w:rFonts w:ascii="仿宋" w:hAnsi="仿宋" w:eastAsia="仿宋"/>
                <w:kern w:val="0"/>
                <w:sz w:val="28"/>
                <w:szCs w:val="28"/>
              </w:rPr>
              <w:t>2021-1756T-YB</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钢铁企业碳资产管理规范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碳资产管理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8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26</w:t>
            </w:r>
          </w:p>
        </w:tc>
        <w:tc>
          <w:tcPr>
            <w:tcW w:w="964"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fldChar w:fldCharType="begin"/>
            </w:r>
            <w:r>
              <w:instrText xml:space="preserve"> HYPERLINK "http://219.239.107.155:8080/TaskBook.aspx?id=20211816TSJ" </w:instrText>
            </w:r>
            <w:r>
              <w:fldChar w:fldCharType="separate"/>
            </w:r>
            <w:r>
              <w:rPr>
                <w:rFonts w:ascii="仿宋" w:hAnsi="仿宋" w:eastAsia="仿宋"/>
                <w:kern w:val="0"/>
                <w:sz w:val="28"/>
                <w:szCs w:val="28"/>
              </w:rPr>
              <w:t>2021-1816T-SJ</w:t>
            </w:r>
            <w:r>
              <w:rPr>
                <w:rFonts w:ascii="仿宋" w:hAnsi="仿宋" w:eastAsia="仿宋"/>
                <w:kern w:val="0"/>
                <w:sz w:val="28"/>
                <w:szCs w:val="28"/>
              </w:rPr>
              <w:fldChar w:fldCharType="end"/>
            </w:r>
          </w:p>
        </w:tc>
        <w:tc>
          <w:tcPr>
            <w:tcW w:w="2107" w:type="pct"/>
            <w:shd w:val="clear" w:color="auto" w:fill="auto"/>
            <w:vAlign w:val="center"/>
          </w:tcPr>
          <w:p>
            <w:pPr>
              <w:widowControl/>
              <w:spacing w:beforeLines="0" w:afterLines="0" w:line="360" w:lineRule="exact"/>
              <w:ind w:firstLine="0" w:firstLineChars="0"/>
              <w:jc w:val="left"/>
              <w:rPr>
                <w:rFonts w:ascii="仿宋" w:hAnsi="仿宋" w:eastAsia="仿宋"/>
                <w:kern w:val="0"/>
                <w:sz w:val="28"/>
                <w:szCs w:val="28"/>
              </w:rPr>
            </w:pPr>
            <w:r>
              <w:rPr>
                <w:rFonts w:ascii="仿宋" w:hAnsi="仿宋" w:eastAsia="仿宋"/>
                <w:kern w:val="0"/>
                <w:sz w:val="28"/>
                <w:szCs w:val="28"/>
              </w:rPr>
              <w:t>光伏发电碳资产管理技术规范</w:t>
            </w:r>
          </w:p>
        </w:tc>
        <w:tc>
          <w:tcPr>
            <w:tcW w:w="421" w:type="pct"/>
            <w:shd w:val="clear" w:color="auto" w:fill="auto"/>
            <w:vAlign w:val="center"/>
          </w:tcPr>
          <w:p>
            <w:pPr>
              <w:widowControl/>
              <w:spacing w:beforeLines="0" w:afterLines="0" w:line="360" w:lineRule="exact"/>
              <w:ind w:firstLine="0" w:firstLineChars="0"/>
              <w:jc w:val="center"/>
              <w:rPr>
                <w:rFonts w:ascii="仿宋" w:hAnsi="仿宋" w:eastAsia="仿宋"/>
                <w:kern w:val="0"/>
                <w:sz w:val="28"/>
                <w:szCs w:val="28"/>
              </w:rPr>
            </w:pPr>
            <w:r>
              <w:rPr>
                <w:rFonts w:ascii="仿宋" w:hAnsi="仿宋" w:eastAsia="仿宋"/>
                <w:kern w:val="0"/>
                <w:sz w:val="28"/>
                <w:szCs w:val="28"/>
              </w:rPr>
              <w:t>制定中</w:t>
            </w:r>
          </w:p>
        </w:tc>
        <w:tc>
          <w:tcPr>
            <w:tcW w:w="1027" w:type="pct"/>
            <w:shd w:val="clear" w:color="auto" w:fill="auto"/>
            <w:vAlign w:val="center"/>
          </w:tcPr>
          <w:p>
            <w:pPr>
              <w:widowControl/>
              <w:spacing w:beforeLines="0" w:afterLines="0" w:line="360" w:lineRule="exact"/>
              <w:ind w:firstLine="0" w:firstLineChars="0"/>
              <w:jc w:val="center"/>
              <w:rPr>
                <w:rFonts w:ascii="仿宋" w:hAnsi="仿宋" w:eastAsia="仿宋" w:cs="宋体"/>
                <w:kern w:val="0"/>
                <w:sz w:val="28"/>
                <w:szCs w:val="28"/>
              </w:rPr>
            </w:pPr>
            <w:r>
              <w:rPr>
                <w:rFonts w:hint="eastAsia" w:ascii="仿宋" w:hAnsi="仿宋" w:eastAsia="仿宋" w:cs="宋体"/>
                <w:kern w:val="0"/>
                <w:sz w:val="28"/>
                <w:szCs w:val="28"/>
              </w:rPr>
              <w:t>碳资产管理</w:t>
            </w:r>
          </w:p>
        </w:tc>
      </w:tr>
    </w:tbl>
    <w:p>
      <w:pPr>
        <w:widowControl/>
        <w:spacing w:beforeLines="0" w:afterLines="0"/>
        <w:ind w:firstLine="0" w:firstLineChars="0"/>
        <w:rPr>
          <w:rFonts w:ascii="Times New Roman" w:hAnsi="Times New Roman" w:eastAsia="仿宋"/>
          <w:kern w:val="0"/>
          <w:sz w:val="30"/>
          <w:szCs w:val="30"/>
        </w:rPr>
        <w:sectPr>
          <w:headerReference r:id="rId14" w:type="first"/>
          <w:footerReference r:id="rId17" w:type="first"/>
          <w:headerReference r:id="rId12" w:type="default"/>
          <w:footerReference r:id="rId15" w:type="default"/>
          <w:headerReference r:id="rId13" w:type="even"/>
          <w:footerReference r:id="rId16" w:type="even"/>
          <w:pgSz w:w="16838" w:h="11906" w:orient="landscape"/>
          <w:pgMar w:top="1800" w:right="1440" w:bottom="1800" w:left="1440" w:header="851" w:footer="992" w:gutter="0"/>
          <w:cols w:space="425" w:num="1"/>
          <w:docGrid w:type="lines" w:linePitch="312" w:charSpace="0"/>
        </w:sectPr>
      </w:pPr>
    </w:p>
    <w:p>
      <w:pPr>
        <w:pStyle w:val="2"/>
        <w:adjustRightInd w:val="0"/>
        <w:snapToGrid w:val="0"/>
        <w:spacing w:line="240" w:lineRule="auto"/>
        <w:rPr>
          <w:rFonts w:ascii="黑体" w:hAnsi="黑体" w:eastAsia="黑体"/>
          <w:b w:val="0"/>
          <w:bCs w:val="0"/>
          <w:sz w:val="32"/>
          <w:szCs w:val="32"/>
        </w:rPr>
      </w:pPr>
      <w:bookmarkStart w:id="62" w:name="_Toc124149061"/>
      <w:r>
        <w:rPr>
          <w:rFonts w:hint="eastAsia" w:ascii="黑体" w:hAnsi="黑体" w:eastAsia="黑体"/>
          <w:b w:val="0"/>
          <w:bCs w:val="0"/>
          <w:sz w:val="32"/>
          <w:szCs w:val="32"/>
        </w:rPr>
        <w:t>附件</w:t>
      </w:r>
      <w:r>
        <w:rPr>
          <w:rFonts w:ascii="黑体" w:hAnsi="黑体" w:eastAsia="黑体"/>
          <w:b w:val="0"/>
          <w:bCs w:val="0"/>
          <w:sz w:val="32"/>
          <w:szCs w:val="32"/>
        </w:rPr>
        <w:t>2</w:t>
      </w:r>
      <w:bookmarkEnd w:id="62"/>
    </w:p>
    <w:p>
      <w:pPr>
        <w:widowControl/>
        <w:spacing w:beforeLines="0" w:afterLines="0"/>
        <w:ind w:firstLine="0" w:firstLineChars="0"/>
        <w:jc w:val="center"/>
        <w:rPr>
          <w:rFonts w:ascii="黑体" w:hAnsi="黑体" w:eastAsia="黑体"/>
          <w:sz w:val="36"/>
          <w:szCs w:val="36"/>
        </w:rPr>
      </w:pPr>
      <w:r>
        <w:rPr>
          <w:rFonts w:hint="eastAsia" w:ascii="黑体" w:hAnsi="黑体" w:eastAsia="黑体"/>
          <w:sz w:val="36"/>
          <w:szCs w:val="36"/>
        </w:rPr>
        <w:t>工业领域碳达峰碳中和标准制定重点方向</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871"/>
        <w:gridCol w:w="2449"/>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54" w:type="pct"/>
            <w:vAlign w:val="center"/>
          </w:tcPr>
          <w:p>
            <w:pPr>
              <w:widowControl/>
              <w:adjustRightInd w:val="0"/>
              <w:snapToGrid w:val="0"/>
              <w:spacing w:beforeLines="0" w:afterLines="0" w:line="360" w:lineRule="exact"/>
              <w:ind w:left="-2" w:leftChars="-6" w:hanging="11" w:hangingChars="4"/>
              <w:jc w:val="center"/>
              <w:rPr>
                <w:rFonts w:ascii="Times New Roman" w:hAnsi="Times New Roman" w:eastAsia="仿宋"/>
                <w:b/>
                <w:bCs/>
                <w:color w:val="000000"/>
                <w:kern w:val="0"/>
                <w:sz w:val="28"/>
                <w:szCs w:val="28"/>
              </w:rPr>
            </w:pPr>
            <w:r>
              <w:rPr>
                <w:rFonts w:ascii="Times New Roman" w:hAnsi="Times New Roman" w:eastAsia="仿宋"/>
                <w:b/>
                <w:bCs/>
                <w:color w:val="000000"/>
                <w:kern w:val="0"/>
                <w:sz w:val="28"/>
                <w:szCs w:val="28"/>
              </w:rPr>
              <w:t>序号</w:t>
            </w:r>
          </w:p>
        </w:tc>
        <w:tc>
          <w:tcPr>
            <w:tcW w:w="660" w:type="pct"/>
            <w:vAlign w:val="center"/>
          </w:tcPr>
          <w:p>
            <w:pPr>
              <w:widowControl/>
              <w:adjustRightInd w:val="0"/>
              <w:snapToGrid w:val="0"/>
              <w:spacing w:beforeLines="0" w:afterLines="0" w:line="360" w:lineRule="exact"/>
              <w:ind w:firstLine="0" w:firstLineChars="0"/>
              <w:jc w:val="center"/>
              <w:rPr>
                <w:rFonts w:ascii="Times New Roman" w:hAnsi="Times New Roman" w:eastAsia="仿宋"/>
                <w:b/>
                <w:bCs/>
                <w:color w:val="000000"/>
                <w:kern w:val="0"/>
                <w:sz w:val="28"/>
                <w:szCs w:val="28"/>
              </w:rPr>
            </w:pPr>
            <w:r>
              <w:rPr>
                <w:rFonts w:ascii="Times New Roman" w:hAnsi="Times New Roman" w:eastAsia="仿宋"/>
                <w:b/>
                <w:bCs/>
                <w:color w:val="000000"/>
                <w:kern w:val="0"/>
                <w:sz w:val="28"/>
                <w:szCs w:val="28"/>
              </w:rPr>
              <w:t>一级分类</w:t>
            </w:r>
          </w:p>
        </w:tc>
        <w:tc>
          <w:tcPr>
            <w:tcW w:w="864" w:type="pct"/>
            <w:vAlign w:val="center"/>
          </w:tcPr>
          <w:p>
            <w:pPr>
              <w:widowControl/>
              <w:adjustRightInd w:val="0"/>
              <w:snapToGrid w:val="0"/>
              <w:spacing w:beforeLines="0" w:afterLines="0" w:line="360" w:lineRule="exact"/>
              <w:ind w:firstLine="0" w:firstLineChars="0"/>
              <w:jc w:val="center"/>
              <w:rPr>
                <w:rFonts w:ascii="Times New Roman" w:hAnsi="Times New Roman" w:eastAsia="仿宋"/>
                <w:b/>
                <w:bCs/>
                <w:color w:val="000000"/>
                <w:kern w:val="0"/>
                <w:sz w:val="28"/>
                <w:szCs w:val="28"/>
              </w:rPr>
            </w:pPr>
            <w:r>
              <w:rPr>
                <w:rFonts w:ascii="Times New Roman" w:hAnsi="Times New Roman" w:eastAsia="仿宋"/>
                <w:b/>
                <w:bCs/>
                <w:color w:val="000000"/>
                <w:kern w:val="0"/>
                <w:sz w:val="28"/>
                <w:szCs w:val="28"/>
              </w:rPr>
              <w:t>二级分类</w:t>
            </w:r>
          </w:p>
        </w:tc>
        <w:tc>
          <w:tcPr>
            <w:tcW w:w="3122" w:type="pct"/>
            <w:vAlign w:val="center"/>
          </w:tcPr>
          <w:p>
            <w:pPr>
              <w:widowControl/>
              <w:adjustRightInd w:val="0"/>
              <w:snapToGrid w:val="0"/>
              <w:spacing w:beforeLines="0" w:afterLines="0" w:line="360" w:lineRule="exact"/>
              <w:ind w:firstLine="0" w:firstLineChars="0"/>
              <w:jc w:val="center"/>
              <w:rPr>
                <w:rFonts w:ascii="Times New Roman" w:hAnsi="Times New Roman" w:eastAsia="仿宋"/>
                <w:b/>
                <w:bCs/>
                <w:color w:val="000000"/>
                <w:kern w:val="0"/>
                <w:sz w:val="28"/>
                <w:szCs w:val="28"/>
              </w:rPr>
            </w:pPr>
            <w:r>
              <w:rPr>
                <w:rFonts w:ascii="Times New Roman" w:hAnsi="Times New Roman" w:eastAsia="仿宋"/>
                <w:b/>
                <w:bCs/>
                <w:color w:val="000000"/>
                <w:kern w:val="0"/>
                <w:sz w:val="28"/>
                <w:szCs w:val="28"/>
              </w:rPr>
              <w:t>重点方向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restar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1基础共性</w:t>
            </w: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 xml:space="preserve">1.1 </w:t>
            </w:r>
            <w:r>
              <w:rPr>
                <w:rFonts w:hint="eastAsia" w:ascii="Times New Roman" w:hAnsi="Times New Roman" w:eastAsia="仿宋"/>
                <w:color w:val="000000"/>
                <w:kern w:val="0"/>
                <w:sz w:val="28"/>
                <w:szCs w:val="28"/>
              </w:rPr>
              <w:t>术语定义</w:t>
            </w:r>
          </w:p>
        </w:tc>
        <w:tc>
          <w:tcPr>
            <w:tcW w:w="3122" w:type="pct"/>
            <w:vAlign w:val="center"/>
          </w:tcPr>
          <w:p>
            <w:pPr>
              <w:widowControl/>
              <w:adjustRightInd w:val="0"/>
              <w:snapToGrid w:val="0"/>
              <w:spacing w:beforeLines="0" w:afterLines="0" w:line="360" w:lineRule="exact"/>
              <w:ind w:firstLine="56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工业领域碳排放管理、碳资产管理、碳中和管理体系等方面的术语定义标准。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continue"/>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 xml:space="preserve">1.2 </w:t>
            </w:r>
            <w:r>
              <w:rPr>
                <w:rFonts w:hint="eastAsia" w:ascii="Times New Roman" w:hAnsi="Times New Roman" w:eastAsia="仿宋"/>
                <w:color w:val="000000"/>
                <w:kern w:val="0"/>
                <w:sz w:val="28"/>
                <w:szCs w:val="28"/>
              </w:rPr>
              <w:t>数据质量</w:t>
            </w:r>
          </w:p>
        </w:tc>
        <w:tc>
          <w:tcPr>
            <w:tcW w:w="3122" w:type="pct"/>
            <w:vAlign w:val="center"/>
          </w:tcPr>
          <w:p>
            <w:pPr>
              <w:widowControl/>
              <w:adjustRightInd w:val="0"/>
              <w:snapToGrid w:val="0"/>
              <w:spacing w:beforeLines="0" w:afterLines="0" w:line="360" w:lineRule="exact"/>
              <w:ind w:firstLine="56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工业领域温室气体相关的数据质量管理、数据质量评价等标准。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continue"/>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 xml:space="preserve">1.3 </w:t>
            </w:r>
            <w:r>
              <w:rPr>
                <w:rFonts w:hint="eastAsia" w:ascii="Times New Roman" w:hAnsi="Times New Roman" w:eastAsia="仿宋"/>
                <w:color w:val="000000"/>
                <w:kern w:val="0"/>
                <w:sz w:val="28"/>
                <w:szCs w:val="28"/>
              </w:rPr>
              <w:t>标识标志</w:t>
            </w:r>
          </w:p>
        </w:tc>
        <w:tc>
          <w:tcPr>
            <w:tcW w:w="3122" w:type="pct"/>
            <w:vAlign w:val="center"/>
          </w:tcPr>
          <w:p>
            <w:pPr>
              <w:widowControl/>
              <w:adjustRightInd w:val="0"/>
              <w:snapToGrid w:val="0"/>
              <w:spacing w:beforeLines="0" w:afterLines="0" w:line="360" w:lineRule="exact"/>
              <w:ind w:firstLine="56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重点工业产品的碳标签、碳足迹等标志标识标准。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continue"/>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 xml:space="preserve">1.4 </w:t>
            </w:r>
            <w:r>
              <w:rPr>
                <w:rFonts w:hint="eastAsia" w:ascii="Times New Roman" w:hAnsi="Times New Roman" w:eastAsia="仿宋"/>
                <w:color w:val="000000"/>
                <w:kern w:val="0"/>
                <w:sz w:val="28"/>
                <w:szCs w:val="28"/>
              </w:rPr>
              <w:t>报告声明与信息披露</w:t>
            </w:r>
          </w:p>
        </w:tc>
        <w:tc>
          <w:tcPr>
            <w:tcW w:w="3122" w:type="pct"/>
            <w:vAlign w:val="center"/>
          </w:tcPr>
          <w:p>
            <w:pPr>
              <w:widowControl/>
              <w:adjustRightInd w:val="0"/>
              <w:snapToGrid w:val="0"/>
              <w:spacing w:beforeLines="0" w:afterLines="0" w:line="360" w:lineRule="exact"/>
              <w:ind w:firstLine="56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工业领域重点行业或企业的碳排放、碳减排量、产品环境信息等信息披露与报告要求相关标准。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restar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2</w:t>
            </w:r>
            <w:r>
              <w:rPr>
                <w:rFonts w:hint="eastAsia" w:ascii="Times New Roman" w:hAnsi="Times New Roman" w:eastAsia="仿宋"/>
                <w:color w:val="000000"/>
                <w:kern w:val="0"/>
                <w:sz w:val="28"/>
                <w:szCs w:val="28"/>
              </w:rPr>
              <w:t>核算与核查</w:t>
            </w: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2.1</w:t>
            </w:r>
            <w:r>
              <w:rPr>
                <w:rFonts w:hint="eastAsia" w:ascii="Times New Roman" w:hAnsi="Times New Roman" w:eastAsia="仿宋"/>
                <w:color w:val="000000"/>
                <w:kern w:val="0"/>
                <w:sz w:val="28"/>
                <w:szCs w:val="28"/>
              </w:rPr>
              <w:t>温室气体核算</w:t>
            </w:r>
          </w:p>
        </w:tc>
        <w:tc>
          <w:tcPr>
            <w:tcW w:w="3122" w:type="pct"/>
            <w:vAlign w:val="center"/>
          </w:tcPr>
          <w:p>
            <w:pPr>
              <w:widowControl/>
              <w:adjustRightInd w:val="0"/>
              <w:snapToGrid w:val="0"/>
              <w:spacing w:beforeLines="0" w:afterLines="0" w:line="360" w:lineRule="exact"/>
              <w:ind w:firstLine="562"/>
              <w:rPr>
                <w:rFonts w:ascii="Times New Roman" w:hAnsi="Times New Roman" w:eastAsia="仿宋"/>
                <w:color w:val="000000"/>
                <w:kern w:val="0"/>
                <w:sz w:val="28"/>
                <w:szCs w:val="28"/>
              </w:rPr>
            </w:pPr>
            <w:r>
              <w:rPr>
                <w:rFonts w:hint="eastAsia" w:ascii="Times New Roman" w:hAnsi="Times New Roman" w:eastAsia="仿宋"/>
                <w:b/>
                <w:color w:val="000000"/>
                <w:kern w:val="0"/>
                <w:sz w:val="28"/>
                <w:szCs w:val="28"/>
              </w:rPr>
              <w:t>在组织温室气体排放量核算方面</w:t>
            </w:r>
            <w:r>
              <w:rPr>
                <w:rFonts w:hint="eastAsia" w:ascii="Times New Roman" w:hAnsi="Times New Roman" w:eastAsia="仿宋"/>
                <w:color w:val="000000"/>
                <w:kern w:val="0"/>
                <w:sz w:val="28"/>
                <w:szCs w:val="28"/>
              </w:rPr>
              <w:t>，重点制定黑色金属矿采选、钢铁生产主工序、钢压延加工、钢丝及制品、铁合金、炭素、冶金石灰等钢铁行业重点企业的二氧化碳排放核算标准；烧结墙体材料、玻璃纤维及制品、绝热材料、建筑防水材料、混凝土与水泥制品等建材行业重点企业的二氧化碳排放核算标准；铜矿、铅锌矿等矿采选企业，铜冶炼、铅冶炼、再生铅冶炼、锌冶炼、镍冶炼、钴冶炼、贵金属冶炼等有色金属行业重点企业的二氧化碳排放核算标准；炼油企业、石油天然气企业，涂料、硝酸、乙烯、黄磷、氯碱、纯碱、磷化工、再生塑料、合成树脂、废弃化学品处置等石化、化工行业重点企业的二氧化碳排放核算标准；生物发酵、造纸和纸制品、家用洗涤剂等消费品领域重点企业的二氧化碳排放核算标准；船舶、道路车辆、铸造、锻压、热处理等装备领域重点企业的二氧化碳排放核算标准。</w:t>
            </w:r>
          </w:p>
          <w:p>
            <w:pPr>
              <w:widowControl/>
              <w:adjustRightInd w:val="0"/>
              <w:snapToGrid w:val="0"/>
              <w:spacing w:beforeLines="0" w:afterLines="0" w:line="360" w:lineRule="exact"/>
              <w:ind w:firstLine="562"/>
              <w:rPr>
                <w:rFonts w:ascii="Times New Roman" w:hAnsi="Times New Roman" w:eastAsia="仿宋"/>
                <w:color w:val="000000"/>
                <w:kern w:val="0"/>
                <w:sz w:val="28"/>
                <w:szCs w:val="28"/>
              </w:rPr>
            </w:pPr>
            <w:r>
              <w:rPr>
                <w:rFonts w:hint="eastAsia" w:ascii="Times New Roman" w:hAnsi="Times New Roman" w:eastAsia="仿宋"/>
                <w:b/>
                <w:color w:val="000000"/>
                <w:kern w:val="0"/>
                <w:sz w:val="28"/>
                <w:szCs w:val="28"/>
              </w:rPr>
              <w:t>在项目温室气体减排量核算方面，</w:t>
            </w:r>
            <w:r>
              <w:rPr>
                <w:rFonts w:hint="eastAsia" w:ascii="Times New Roman" w:hAnsi="Times New Roman" w:eastAsia="仿宋"/>
                <w:color w:val="000000"/>
                <w:kern w:val="0"/>
                <w:sz w:val="28"/>
                <w:szCs w:val="28"/>
              </w:rPr>
              <w:t>重点制定废钢回收利用、高炉富氧燃烧、钢渣资源化利用、新型轧制工艺、钢铁副产煤气制化工产品等钢铁行业碳减排技术的二氧化碳减排量核算标准；水泥行业余热利用、水泥熟料的原燃料替代、水泥窑烟气碳捕集、水泥制品养护固碳等建材行业碳减排技术的二氧化碳减排量核算标准；废塑料、废橡胶、废催化剂等废弃化学品再生和回收利用以及装置余热回收等石化、化工行业二氧化碳减排量核算标准；废旧纺织品回收利用、定型机余热回收等消费品领域碳减排技术的二氧化碳减排量核算标准；废旧动力蓄电池回收利用、电动汽车替代出行等装备领域碳减排技术的二氧化碳减排量核算标准”；各行业</w:t>
            </w:r>
            <w:r>
              <w:rPr>
                <w:rFonts w:hint="eastAsia" w:ascii="Times New Roman" w:hAnsi="Times New Roman" w:eastAsia="仿宋"/>
                <w:bCs/>
                <w:color w:val="000000"/>
                <w:kern w:val="0"/>
                <w:sz w:val="28"/>
                <w:szCs w:val="28"/>
              </w:rPr>
              <w:t>产品生命周期的各个环节具备碳减排效益的项目</w:t>
            </w:r>
            <w:r>
              <w:rPr>
                <w:rFonts w:hint="eastAsia" w:ascii="Times New Roman" w:hAnsi="Times New Roman" w:eastAsia="仿宋"/>
                <w:color w:val="000000"/>
                <w:kern w:val="0"/>
                <w:sz w:val="28"/>
                <w:szCs w:val="28"/>
              </w:rPr>
              <w:t>。</w:t>
            </w:r>
          </w:p>
          <w:p>
            <w:pPr>
              <w:widowControl/>
              <w:adjustRightInd w:val="0"/>
              <w:snapToGrid w:val="0"/>
              <w:spacing w:beforeLines="0" w:afterLines="0" w:line="360" w:lineRule="exact"/>
              <w:ind w:firstLine="562"/>
              <w:rPr>
                <w:rFonts w:ascii="Times New Roman" w:hAnsi="Times New Roman" w:eastAsia="仿宋"/>
                <w:color w:val="000000"/>
                <w:kern w:val="0"/>
                <w:sz w:val="28"/>
                <w:szCs w:val="28"/>
              </w:rPr>
            </w:pPr>
            <w:r>
              <w:rPr>
                <w:rFonts w:hint="eastAsia" w:ascii="Times New Roman" w:hAnsi="Times New Roman" w:eastAsia="仿宋"/>
                <w:b/>
                <w:color w:val="000000"/>
                <w:kern w:val="0"/>
                <w:sz w:val="28"/>
                <w:szCs w:val="28"/>
              </w:rPr>
              <w:t>在产品碳足迹核算方面，</w:t>
            </w:r>
            <w:r>
              <w:rPr>
                <w:rFonts w:hint="eastAsia" w:ascii="Times New Roman" w:hAnsi="Times New Roman" w:eastAsia="仿宋"/>
                <w:color w:val="000000"/>
                <w:kern w:val="0"/>
                <w:sz w:val="28"/>
                <w:szCs w:val="28"/>
              </w:rPr>
              <w:t>重点制定钢板及钢带、钢筋、型钢、钢管、盘条、铁合金、不锈钢、电工钢等钢铁行业重点产品的碳足迹核算标准；水泥、预拌混凝土、石灰、玻璃纤维及制品、建筑防水材料、木塑制品、石材、石膏制品、水泥制品、菱镁矿等建材行业重点产品的碳足迹核算标准；电解铝、阴极铜、锌锭、铅锭、稀土火法冶炼产品、稀土硅铁合金等有色行业重点产品的碳足迹核算标准；塑料载具托盘、废弃锂电池处置产品、废弃化学品回收再利用产品、无机化工产品、石油化工产品等石化、化工行业重点产品的碳足迹核算标准；玻璃管制产品、氨基酸、有机酸、玉米淀粉、淀粉糖、酵母、纺织品服装等消费品领域重点产品的碳足迹核算标准；匹配先进燃烧技术的内燃机、甲醇内燃机、弹簧、高强度紧固件、机床、工程机械、乘用车、动力蓄电池及其再生利用产品等装备领域重点产品的碳足迹核算标准；计算机、显示器件、音视频设备、光伏组件等电子领域重点产品的碳足迹核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continue"/>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2.2</w:t>
            </w:r>
            <w:r>
              <w:rPr>
                <w:rFonts w:hint="eastAsia" w:ascii="Times New Roman" w:hAnsi="Times New Roman" w:eastAsia="仿宋"/>
                <w:color w:val="000000"/>
                <w:kern w:val="0"/>
                <w:sz w:val="28"/>
                <w:szCs w:val="28"/>
              </w:rPr>
              <w:t>温室气体核查</w:t>
            </w:r>
          </w:p>
        </w:tc>
        <w:tc>
          <w:tcPr>
            <w:tcW w:w="3122" w:type="pct"/>
            <w:vAlign w:val="center"/>
          </w:tcPr>
          <w:p>
            <w:pPr>
              <w:widowControl/>
              <w:adjustRightInd w:val="0"/>
              <w:snapToGrid w:val="0"/>
              <w:spacing w:beforeLines="0" w:afterLines="0" w:line="360" w:lineRule="exact"/>
              <w:ind w:firstLine="56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重点制定钢铁、建材、有色、石化、化工等行业的生产企业二氧化碳排放量核查、碳减排项目二氧化碳减排量核查、产品碳足迹核查相关的通用导则类标准。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restar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3</w:t>
            </w:r>
            <w:r>
              <w:rPr>
                <w:rFonts w:hint="eastAsia" w:ascii="Times New Roman" w:hAnsi="Times New Roman" w:eastAsia="仿宋"/>
                <w:color w:val="000000"/>
                <w:kern w:val="0"/>
                <w:sz w:val="28"/>
                <w:szCs w:val="28"/>
              </w:rPr>
              <w:t>技术与装备</w:t>
            </w: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 xml:space="preserve">3.1 </w:t>
            </w:r>
            <w:r>
              <w:rPr>
                <w:rFonts w:hint="eastAsia" w:ascii="Times New Roman" w:hAnsi="Times New Roman" w:eastAsia="仿宋"/>
                <w:color w:val="000000"/>
                <w:kern w:val="0"/>
                <w:sz w:val="28"/>
                <w:szCs w:val="28"/>
              </w:rPr>
              <w:t>源头控制</w:t>
            </w:r>
          </w:p>
        </w:tc>
        <w:tc>
          <w:tcPr>
            <w:tcW w:w="3122" w:type="pct"/>
            <w:vAlign w:val="center"/>
          </w:tcPr>
          <w:p>
            <w:pPr>
              <w:widowControl/>
              <w:adjustRightInd w:val="0"/>
              <w:snapToGrid w:val="0"/>
              <w:spacing w:beforeLines="0" w:afterLines="0" w:line="360" w:lineRule="exact"/>
              <w:ind w:firstLine="562"/>
              <w:rPr>
                <w:rFonts w:ascii="Times New Roman" w:hAnsi="Times New Roman" w:eastAsia="仿宋"/>
                <w:color w:val="000000"/>
                <w:kern w:val="0"/>
                <w:sz w:val="28"/>
                <w:szCs w:val="28"/>
              </w:rPr>
            </w:pPr>
            <w:r>
              <w:rPr>
                <w:rFonts w:hint="eastAsia" w:ascii="Times New Roman" w:hAnsi="Times New Roman" w:eastAsia="仿宋"/>
                <w:b/>
                <w:color w:val="000000"/>
                <w:kern w:val="0"/>
                <w:sz w:val="28"/>
                <w:szCs w:val="28"/>
              </w:rPr>
              <w:t>在原料替代方面</w:t>
            </w:r>
            <w:r>
              <w:rPr>
                <w:rFonts w:hint="eastAsia" w:ascii="Times New Roman" w:hAnsi="Times New Roman" w:eastAsia="仿宋"/>
                <w:color w:val="000000"/>
                <w:kern w:val="0"/>
                <w:sz w:val="28"/>
                <w:szCs w:val="28"/>
              </w:rPr>
              <w:t>，重点制定氢氯氟烃（HCFCs）、氢氟烃（HFCs）类制冷剂替代，非碳酸盐原料替代，再生钢铁原料、再生铜铝原料、再生铅、风电叶片等再生资源利用，冶炼渣、焦油渣、铁合金渣、电石渣、铝灰渣、赤泥、尾矿、煤矸石、废塑料、废橡胶等工业固废再利用等技术和装备标准。</w:t>
            </w:r>
          </w:p>
          <w:p>
            <w:pPr>
              <w:widowControl/>
              <w:adjustRightInd w:val="0"/>
              <w:snapToGrid w:val="0"/>
              <w:spacing w:beforeLines="0" w:afterLines="0" w:line="360" w:lineRule="exact"/>
              <w:ind w:firstLine="562"/>
              <w:rPr>
                <w:rFonts w:ascii="Times New Roman" w:hAnsi="Times New Roman" w:eastAsia="仿宋"/>
                <w:color w:val="000000"/>
                <w:kern w:val="0"/>
                <w:sz w:val="28"/>
                <w:szCs w:val="28"/>
              </w:rPr>
            </w:pPr>
            <w:r>
              <w:rPr>
                <w:rFonts w:hint="eastAsia" w:ascii="Times New Roman" w:hAnsi="Times New Roman" w:eastAsia="仿宋"/>
                <w:b/>
                <w:color w:val="000000"/>
                <w:kern w:val="0"/>
                <w:sz w:val="28"/>
                <w:szCs w:val="28"/>
              </w:rPr>
              <w:t>在燃料替代方面</w:t>
            </w:r>
            <w:r>
              <w:rPr>
                <w:rFonts w:hint="eastAsia" w:ascii="Times New Roman" w:hAnsi="Times New Roman" w:eastAsia="仿宋"/>
                <w:color w:val="000000"/>
                <w:kern w:val="0"/>
                <w:sz w:val="28"/>
                <w:szCs w:val="28"/>
              </w:rPr>
              <w:t>，重点制定生物质燃料替代技术，氢冶金，炉窑氢燃料替代，玻璃熔窑窑炉氢能煅烧、燃氢燃气轮机、氢燃料内燃机等氢能替代，高排放非道路移动机械（如工程机械、农业机械等）原燃料结构优化，工业电加热炉、工业汽轮机、空气源热泵采暖等电气化替代等技术和装备标准。</w:t>
            </w:r>
          </w:p>
          <w:p>
            <w:pPr>
              <w:widowControl/>
              <w:adjustRightInd w:val="0"/>
              <w:snapToGrid w:val="0"/>
              <w:spacing w:beforeLines="0" w:afterLines="0" w:line="360" w:lineRule="exact"/>
              <w:ind w:firstLine="562"/>
              <w:rPr>
                <w:rFonts w:ascii="Times New Roman" w:hAnsi="Times New Roman" w:eastAsia="仿宋"/>
                <w:color w:val="000000"/>
                <w:kern w:val="0"/>
                <w:sz w:val="28"/>
                <w:szCs w:val="28"/>
              </w:rPr>
            </w:pPr>
            <w:r>
              <w:rPr>
                <w:rFonts w:hint="eastAsia" w:ascii="Times New Roman" w:hAnsi="Times New Roman" w:eastAsia="仿宋"/>
                <w:b/>
                <w:color w:val="000000"/>
                <w:kern w:val="0"/>
                <w:sz w:val="28"/>
                <w:szCs w:val="28"/>
              </w:rPr>
              <w:t>在可再生能源利用方面</w:t>
            </w:r>
            <w:r>
              <w:rPr>
                <w:rFonts w:hint="eastAsia" w:ascii="Times New Roman" w:hAnsi="Times New Roman" w:eastAsia="仿宋"/>
                <w:color w:val="000000"/>
                <w:kern w:val="0"/>
                <w:sz w:val="28"/>
                <w:szCs w:val="28"/>
              </w:rPr>
              <w:t>，重点制定太阳能、风能、光热、地热、潮汐能、生物质能等可再生能源开发、输送、储能、利用以及分布式应用等相关技术和装备标准。</w:t>
            </w:r>
          </w:p>
          <w:p>
            <w:pPr>
              <w:widowControl/>
              <w:adjustRightInd w:val="0"/>
              <w:snapToGrid w:val="0"/>
              <w:spacing w:beforeLines="0" w:afterLines="0" w:line="360" w:lineRule="exact"/>
              <w:ind w:firstLine="562"/>
              <w:rPr>
                <w:rFonts w:ascii="Times New Roman" w:hAnsi="Times New Roman" w:eastAsia="仿宋"/>
                <w:color w:val="000000"/>
                <w:kern w:val="0"/>
                <w:sz w:val="28"/>
                <w:szCs w:val="28"/>
              </w:rPr>
            </w:pPr>
            <w:r>
              <w:rPr>
                <w:rFonts w:hint="eastAsia" w:ascii="Times New Roman" w:hAnsi="Times New Roman" w:eastAsia="仿宋"/>
                <w:b/>
                <w:color w:val="000000"/>
                <w:kern w:val="0"/>
                <w:sz w:val="28"/>
                <w:szCs w:val="28"/>
              </w:rPr>
              <w:t>在低碳设计方面</w:t>
            </w:r>
            <w:r>
              <w:rPr>
                <w:rFonts w:hint="eastAsia" w:ascii="Times New Roman" w:hAnsi="Times New Roman" w:eastAsia="仿宋"/>
                <w:color w:val="000000"/>
                <w:kern w:val="0"/>
                <w:sz w:val="28"/>
                <w:szCs w:val="28"/>
              </w:rPr>
              <w:t>，重点制定建材行业硫（铁）铝酸盐水泥等低碳水泥设计、铸造行业低碳园区设计、集成电路低碳工厂设计等标准。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continue"/>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 xml:space="preserve">3.2 </w:t>
            </w:r>
            <w:r>
              <w:rPr>
                <w:rFonts w:hint="eastAsia" w:ascii="Times New Roman" w:hAnsi="Times New Roman" w:eastAsia="仿宋"/>
                <w:color w:val="000000"/>
                <w:kern w:val="0"/>
                <w:sz w:val="28"/>
                <w:szCs w:val="28"/>
              </w:rPr>
              <w:t>生产过程控制</w:t>
            </w:r>
          </w:p>
        </w:tc>
        <w:tc>
          <w:tcPr>
            <w:tcW w:w="3122" w:type="pct"/>
            <w:vAlign w:val="center"/>
          </w:tcPr>
          <w:p>
            <w:pPr>
              <w:widowControl/>
              <w:adjustRightInd w:val="0"/>
              <w:snapToGrid w:val="0"/>
              <w:spacing w:beforeLines="0" w:afterLines="0" w:line="360" w:lineRule="exact"/>
              <w:ind w:firstLine="56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重点制定能源梯级利用、储能及余能回收利用、多效精馏系统提升、富氧燃烧等能效提升技术与装备标准；氢冶金、熔融还原炼铁、氧气高炉、短流程炼钢、连铸连轧工艺、石化化工过程副产氢气高值利用、油化一体化工艺技术、高效水泥熟料蓖冷机工艺、浮法玻璃一窑多线技术、陶瓷干法制粉工艺、低能耗高效加氢裂化（改质）技术、可再生能源低成本制氢等生产工艺优化技术与装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continue"/>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 xml:space="preserve">3.3 </w:t>
            </w:r>
            <w:r>
              <w:rPr>
                <w:rFonts w:hint="eastAsia" w:ascii="Times New Roman" w:hAnsi="Times New Roman" w:eastAsia="仿宋"/>
                <w:color w:val="000000"/>
                <w:kern w:val="0"/>
                <w:sz w:val="28"/>
                <w:szCs w:val="28"/>
              </w:rPr>
              <w:t>末端治理</w:t>
            </w:r>
          </w:p>
        </w:tc>
        <w:tc>
          <w:tcPr>
            <w:tcW w:w="3122" w:type="pct"/>
            <w:vAlign w:val="center"/>
          </w:tcPr>
          <w:p>
            <w:pPr>
              <w:widowControl/>
              <w:adjustRightInd w:val="0"/>
              <w:snapToGrid w:val="0"/>
              <w:spacing w:beforeLines="0" w:afterLines="0" w:line="360" w:lineRule="exact"/>
              <w:ind w:firstLine="56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重点制定工业领域二氧化碳捕集、分离、资源化利用、封存等技术与装备标准。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continue"/>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3.4</w:t>
            </w:r>
            <w:r>
              <w:rPr>
                <w:rFonts w:hint="eastAsia" w:ascii="Times New Roman" w:hAnsi="Times New Roman" w:eastAsia="仿宋"/>
                <w:color w:val="000000"/>
                <w:kern w:val="0"/>
                <w:sz w:val="28"/>
                <w:szCs w:val="28"/>
              </w:rPr>
              <w:t>协同降碳</w:t>
            </w:r>
          </w:p>
        </w:tc>
        <w:tc>
          <w:tcPr>
            <w:tcW w:w="3122" w:type="pct"/>
            <w:vAlign w:val="center"/>
          </w:tcPr>
          <w:p>
            <w:pPr>
              <w:widowControl/>
              <w:adjustRightInd w:val="0"/>
              <w:snapToGrid w:val="0"/>
              <w:spacing w:beforeLines="0" w:afterLines="0" w:line="360" w:lineRule="exact"/>
              <w:ind w:firstLine="560"/>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重点制定碳排放数字化管理平台、智能分析检测技术等数字化绿色化协同标准；污染物与温室气体协同减排相关的技术与装备标准；工业炉窑协同处置生活垃圾、钢渣脱硫石膏用于水泥企业、全固废胶凝材料、钢化联产、低碳燃料匹配发动机燃烧和整车技术等产业链协同降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4</w:t>
            </w:r>
            <w:r>
              <w:rPr>
                <w:rFonts w:hint="eastAsia" w:ascii="Times New Roman" w:hAnsi="Times New Roman" w:eastAsia="仿宋"/>
                <w:color w:val="000000"/>
                <w:kern w:val="0"/>
                <w:sz w:val="28"/>
                <w:szCs w:val="28"/>
              </w:rPr>
              <w:t>监测</w:t>
            </w: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4</w:t>
            </w:r>
            <w:r>
              <w:rPr>
                <w:rFonts w:ascii="Times New Roman" w:hAnsi="Times New Roman" w:eastAsia="仿宋"/>
                <w:color w:val="000000"/>
                <w:kern w:val="0"/>
                <w:sz w:val="28"/>
                <w:szCs w:val="28"/>
              </w:rPr>
              <w:t>.1</w:t>
            </w:r>
            <w:r>
              <w:rPr>
                <w:rFonts w:hint="eastAsia" w:ascii="Times New Roman" w:hAnsi="Times New Roman" w:eastAsia="仿宋"/>
                <w:color w:val="000000"/>
                <w:kern w:val="0"/>
                <w:sz w:val="28"/>
                <w:szCs w:val="28"/>
              </w:rPr>
              <w:t>监测技术</w:t>
            </w:r>
          </w:p>
        </w:tc>
        <w:tc>
          <w:tcPr>
            <w:tcW w:w="3122" w:type="pct"/>
            <w:vAlign w:val="center"/>
          </w:tcPr>
          <w:p>
            <w:pPr>
              <w:widowControl/>
              <w:adjustRightInd w:val="0"/>
              <w:snapToGrid w:val="0"/>
              <w:spacing w:beforeLines="0" w:afterLines="0" w:line="360" w:lineRule="exact"/>
              <w:ind w:firstLine="560"/>
              <w:rPr>
                <w:rFonts w:ascii="Times New Roman" w:hAnsi="Times New Roman" w:eastAsia="仿宋"/>
                <w:kern w:val="0"/>
                <w:sz w:val="28"/>
                <w:szCs w:val="28"/>
              </w:rPr>
            </w:pPr>
            <w:r>
              <w:rPr>
                <w:rFonts w:hint="eastAsia" w:ascii="Times New Roman" w:hAnsi="Times New Roman" w:eastAsia="仿宋"/>
                <w:kern w:val="0"/>
                <w:sz w:val="28"/>
                <w:szCs w:val="28"/>
              </w:rPr>
              <w:t>重点制定钢铁、焦化、铁合金等钢铁行业生产过程二氧化碳监测标准；氟化工等石化、化工企业二氧化碳连续监测标准；建材生产企业固定源二氧化碳排放在线监测标准；道路车辆企业/产品的碳排放监测标准。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restar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5管理与评价</w:t>
            </w: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 xml:space="preserve">5.1 </w:t>
            </w:r>
            <w:r>
              <w:rPr>
                <w:rFonts w:hint="eastAsia" w:ascii="Times New Roman" w:hAnsi="Times New Roman" w:eastAsia="仿宋"/>
                <w:color w:val="000000"/>
                <w:kern w:val="0"/>
                <w:sz w:val="28"/>
                <w:szCs w:val="28"/>
              </w:rPr>
              <w:t>低碳评价</w:t>
            </w:r>
          </w:p>
        </w:tc>
        <w:tc>
          <w:tcPr>
            <w:tcW w:w="3122" w:type="pct"/>
            <w:vAlign w:val="center"/>
          </w:tcPr>
          <w:p>
            <w:pPr>
              <w:widowControl/>
              <w:adjustRightInd w:val="0"/>
              <w:snapToGrid w:val="0"/>
              <w:spacing w:beforeLines="0" w:afterLines="0" w:line="360" w:lineRule="exact"/>
              <w:ind w:firstLine="560"/>
              <w:rPr>
                <w:rFonts w:ascii="Times New Roman" w:hAnsi="Times New Roman" w:eastAsia="仿宋"/>
                <w:kern w:val="0"/>
                <w:sz w:val="28"/>
                <w:szCs w:val="28"/>
              </w:rPr>
            </w:pPr>
            <w:r>
              <w:rPr>
                <w:rFonts w:hint="eastAsia" w:ascii="Times New Roman" w:hAnsi="Times New Roman" w:eastAsia="仿宋"/>
                <w:kern w:val="0"/>
                <w:sz w:val="28"/>
                <w:szCs w:val="28"/>
              </w:rPr>
              <w:t>重点制定钢铁、建材、有色、石化、化工等行业的低碳企业通用评价导则类标准。</w:t>
            </w:r>
          </w:p>
          <w:p>
            <w:pPr>
              <w:widowControl/>
              <w:adjustRightInd w:val="0"/>
              <w:snapToGrid w:val="0"/>
              <w:spacing w:beforeLines="0" w:afterLines="0" w:line="360" w:lineRule="exact"/>
              <w:ind w:firstLine="560"/>
              <w:rPr>
                <w:rFonts w:ascii="Times New Roman" w:hAnsi="Times New Roman" w:eastAsia="仿宋"/>
                <w:color w:val="000000"/>
                <w:kern w:val="0"/>
                <w:sz w:val="28"/>
                <w:szCs w:val="28"/>
              </w:rPr>
            </w:pPr>
            <w:r>
              <w:rPr>
                <w:rFonts w:hint="eastAsia" w:ascii="Times New Roman" w:hAnsi="Times New Roman" w:eastAsia="仿宋"/>
                <w:kern w:val="0"/>
                <w:sz w:val="28"/>
                <w:szCs w:val="28"/>
              </w:rPr>
              <w:t>重点制定黑色金属矿产品、</w:t>
            </w:r>
            <w:r>
              <w:rPr>
                <w:rFonts w:hint="eastAsia" w:ascii="Times New Roman" w:hAnsi="Times New Roman" w:eastAsia="仿宋"/>
                <w:color w:val="000000"/>
                <w:kern w:val="0"/>
                <w:sz w:val="28"/>
                <w:szCs w:val="28"/>
              </w:rPr>
              <w:t>钢板及钢带、钢筋、型钢、钢管、金属制品、铁合金、不锈钢、电工钢等钢铁行业重点产品的低碳评价标准；</w:t>
            </w:r>
            <w:r>
              <w:rPr>
                <w:rFonts w:hint="eastAsia" w:ascii="Times New Roman" w:hAnsi="Times New Roman" w:eastAsia="仿宋"/>
                <w:kern w:val="0"/>
                <w:sz w:val="28"/>
                <w:szCs w:val="28"/>
              </w:rPr>
              <w:t>烧结墙体材料、平板玻璃、玻璃纤维及制品、绝热材料、建筑防水材料、混凝土与水泥制品等建材行业重点产品的</w:t>
            </w:r>
            <w:r>
              <w:rPr>
                <w:rFonts w:hint="eastAsia" w:ascii="Times New Roman" w:hAnsi="Times New Roman" w:eastAsia="仿宋"/>
                <w:color w:val="000000"/>
                <w:kern w:val="0"/>
                <w:sz w:val="28"/>
                <w:szCs w:val="28"/>
              </w:rPr>
              <w:t>低碳评价标准</w:t>
            </w:r>
            <w:r>
              <w:rPr>
                <w:rFonts w:hint="eastAsia" w:ascii="Times New Roman" w:hAnsi="Times New Roman" w:eastAsia="仿宋"/>
                <w:kern w:val="0"/>
                <w:sz w:val="28"/>
                <w:szCs w:val="28"/>
              </w:rPr>
              <w:t>；电解铝、稀土矿等有色行业重点产品的</w:t>
            </w:r>
            <w:r>
              <w:rPr>
                <w:rFonts w:hint="eastAsia" w:ascii="Times New Roman" w:hAnsi="Times New Roman" w:eastAsia="仿宋"/>
                <w:color w:val="000000"/>
                <w:kern w:val="0"/>
                <w:sz w:val="28"/>
                <w:szCs w:val="28"/>
              </w:rPr>
              <w:t>低碳评价标准</w:t>
            </w:r>
            <w:r>
              <w:rPr>
                <w:rFonts w:hint="eastAsia" w:ascii="Times New Roman" w:hAnsi="Times New Roman" w:eastAsia="仿宋"/>
                <w:kern w:val="0"/>
                <w:sz w:val="28"/>
                <w:szCs w:val="28"/>
              </w:rPr>
              <w:t>；石化塑料、橡胶和化学品、腐植酸类肥料、制冷剂、复合肥料、轮胎、碳酸钙、硫酸锰、磷酸及磷酸盐等石化、化工行业重点产品的</w:t>
            </w:r>
            <w:r>
              <w:rPr>
                <w:rFonts w:hint="eastAsia" w:ascii="Times New Roman" w:hAnsi="Times New Roman" w:eastAsia="仿宋"/>
                <w:color w:val="000000"/>
                <w:kern w:val="0"/>
                <w:sz w:val="28"/>
                <w:szCs w:val="28"/>
              </w:rPr>
              <w:t>低碳评价标准</w:t>
            </w:r>
            <w:r>
              <w:rPr>
                <w:rFonts w:hint="eastAsia" w:ascii="Times New Roman" w:hAnsi="Times New Roman" w:eastAsia="仿宋"/>
                <w:kern w:val="0"/>
                <w:sz w:val="28"/>
                <w:szCs w:val="28"/>
              </w:rPr>
              <w:t>；家用洗涤剂等消费品领域重点产品的</w:t>
            </w:r>
            <w:r>
              <w:rPr>
                <w:rFonts w:hint="eastAsia" w:ascii="Times New Roman" w:hAnsi="Times New Roman" w:eastAsia="仿宋"/>
                <w:color w:val="000000"/>
                <w:kern w:val="0"/>
                <w:sz w:val="28"/>
                <w:szCs w:val="28"/>
              </w:rPr>
              <w:t>低碳评价标准</w:t>
            </w:r>
            <w:r>
              <w:rPr>
                <w:rFonts w:hint="eastAsia" w:ascii="Times New Roman" w:hAnsi="Times New Roman" w:eastAsia="仿宋"/>
                <w:kern w:val="0"/>
                <w:sz w:val="28"/>
                <w:szCs w:val="28"/>
              </w:rPr>
              <w:t>；氢燃料内燃机、甲醇内燃机、通用汽油机、动力蓄电池、氢燃料电池、驱动电机、道路车辆等装备领域重点产品的</w:t>
            </w:r>
            <w:r>
              <w:rPr>
                <w:rFonts w:hint="eastAsia" w:ascii="Times New Roman" w:hAnsi="Times New Roman" w:eastAsia="仿宋"/>
                <w:color w:val="000000"/>
                <w:kern w:val="0"/>
                <w:sz w:val="28"/>
                <w:szCs w:val="28"/>
              </w:rPr>
              <w:t>低碳评价标准；计算机、显示器件、音视频设备、光伏组件等电子领域重点产品的低碳评价标准。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continue"/>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5</w:t>
            </w:r>
            <w:r>
              <w:rPr>
                <w:rFonts w:ascii="Times New Roman" w:hAnsi="Times New Roman" w:eastAsia="仿宋"/>
                <w:color w:val="000000"/>
                <w:kern w:val="0"/>
                <w:sz w:val="28"/>
                <w:szCs w:val="28"/>
              </w:rPr>
              <w:t xml:space="preserve">.2 </w:t>
            </w:r>
            <w:r>
              <w:rPr>
                <w:rFonts w:hint="eastAsia" w:ascii="Times New Roman" w:hAnsi="Times New Roman" w:eastAsia="仿宋"/>
                <w:color w:val="000000"/>
                <w:kern w:val="0"/>
                <w:sz w:val="28"/>
                <w:szCs w:val="28"/>
              </w:rPr>
              <w:t>碳排放管理</w:t>
            </w:r>
          </w:p>
        </w:tc>
        <w:tc>
          <w:tcPr>
            <w:tcW w:w="3122" w:type="pct"/>
            <w:vAlign w:val="center"/>
          </w:tcPr>
          <w:p>
            <w:pPr>
              <w:widowControl/>
              <w:adjustRightInd w:val="0"/>
              <w:snapToGrid w:val="0"/>
              <w:spacing w:beforeLines="0" w:afterLines="0" w:line="360" w:lineRule="exact"/>
              <w:ind w:firstLine="560"/>
              <w:rPr>
                <w:rFonts w:ascii="Times New Roman" w:hAnsi="Times New Roman" w:eastAsia="仿宋"/>
                <w:kern w:val="0"/>
                <w:sz w:val="28"/>
                <w:szCs w:val="28"/>
              </w:rPr>
            </w:pPr>
            <w:r>
              <w:rPr>
                <w:rFonts w:hint="eastAsia" w:ascii="Times New Roman" w:hAnsi="Times New Roman" w:eastAsia="仿宋"/>
                <w:kern w:val="0"/>
                <w:sz w:val="28"/>
                <w:szCs w:val="28"/>
              </w:rPr>
              <w:t>重点制定工业企业碳排放管理体系及其在重点行业的应用实施指南标准；企业低碳运行管理标准；重点行业低碳供应链管理标准。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4" w:type="pct"/>
            <w:vAlign w:val="center"/>
          </w:tcPr>
          <w:p>
            <w:pPr>
              <w:widowControl/>
              <w:numPr>
                <w:ilvl w:val="1"/>
                <w:numId w:val="1"/>
              </w:numPr>
              <w:adjustRightInd w:val="0"/>
              <w:snapToGrid w:val="0"/>
              <w:spacing w:beforeLines="0" w:afterLines="0" w:line="360" w:lineRule="exact"/>
              <w:ind w:left="-2" w:leftChars="-6" w:hanging="11" w:hangingChars="4"/>
              <w:jc w:val="center"/>
              <w:rPr>
                <w:rFonts w:ascii="Times New Roman" w:hAnsi="Times New Roman" w:eastAsia="仿宋"/>
                <w:kern w:val="0"/>
                <w:sz w:val="28"/>
                <w:szCs w:val="28"/>
              </w:rPr>
            </w:pPr>
          </w:p>
        </w:tc>
        <w:tc>
          <w:tcPr>
            <w:tcW w:w="660" w:type="pct"/>
            <w:vMerge w:val="continue"/>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p>
        </w:tc>
        <w:tc>
          <w:tcPr>
            <w:tcW w:w="864" w:type="pct"/>
            <w:vAlign w:val="center"/>
          </w:tcPr>
          <w:p>
            <w:pPr>
              <w:widowControl/>
              <w:adjustRightInd w:val="0"/>
              <w:snapToGrid w:val="0"/>
              <w:spacing w:beforeLines="0" w:afterLines="0" w:line="360" w:lineRule="exact"/>
              <w:ind w:firstLine="0" w:firstLineChars="0"/>
              <w:jc w:val="left"/>
              <w:rPr>
                <w:rFonts w:ascii="Times New Roman" w:hAnsi="Times New Roman" w:eastAsia="仿宋"/>
                <w:color w:val="000000"/>
                <w:kern w:val="0"/>
                <w:sz w:val="28"/>
                <w:szCs w:val="28"/>
              </w:rPr>
            </w:pPr>
            <w:r>
              <w:rPr>
                <w:rFonts w:hint="eastAsia" w:ascii="Times New Roman" w:hAnsi="Times New Roman" w:eastAsia="仿宋"/>
                <w:color w:val="000000"/>
                <w:kern w:val="0"/>
                <w:sz w:val="28"/>
                <w:szCs w:val="28"/>
              </w:rPr>
              <w:t>5</w:t>
            </w:r>
            <w:r>
              <w:rPr>
                <w:rFonts w:ascii="Times New Roman" w:hAnsi="Times New Roman" w:eastAsia="仿宋"/>
                <w:color w:val="000000"/>
                <w:kern w:val="0"/>
                <w:sz w:val="28"/>
                <w:szCs w:val="28"/>
              </w:rPr>
              <w:t xml:space="preserve">.3 </w:t>
            </w:r>
            <w:r>
              <w:rPr>
                <w:rFonts w:hint="eastAsia" w:ascii="Times New Roman" w:hAnsi="Times New Roman" w:eastAsia="仿宋"/>
                <w:color w:val="000000"/>
                <w:kern w:val="0"/>
                <w:sz w:val="28"/>
                <w:szCs w:val="28"/>
              </w:rPr>
              <w:t>碳资产管理</w:t>
            </w:r>
          </w:p>
        </w:tc>
        <w:tc>
          <w:tcPr>
            <w:tcW w:w="3122" w:type="pct"/>
            <w:vAlign w:val="center"/>
          </w:tcPr>
          <w:p>
            <w:pPr>
              <w:widowControl/>
              <w:adjustRightInd w:val="0"/>
              <w:snapToGrid w:val="0"/>
              <w:spacing w:beforeLines="0" w:afterLines="0" w:line="360" w:lineRule="exact"/>
              <w:ind w:firstLine="560"/>
              <w:rPr>
                <w:rFonts w:ascii="Times New Roman" w:hAnsi="Times New Roman" w:eastAsia="仿宋"/>
                <w:b/>
                <w:kern w:val="0"/>
                <w:sz w:val="28"/>
                <w:szCs w:val="28"/>
              </w:rPr>
            </w:pPr>
            <w:r>
              <w:rPr>
                <w:rFonts w:hint="eastAsia" w:ascii="Times New Roman" w:hAnsi="Times New Roman" w:eastAsia="仿宋"/>
                <w:kern w:val="0"/>
                <w:sz w:val="28"/>
                <w:szCs w:val="28"/>
              </w:rPr>
              <w:t>重点制定钢铁、建材、有色、石化、化工、电子等行业的碳资产管理技术、碳资产管理体系实施指南等标准。</w:t>
            </w:r>
          </w:p>
        </w:tc>
      </w:tr>
    </w:tbl>
    <w:p>
      <w:pPr>
        <w:widowControl/>
        <w:spacing w:beforeLines="0" w:afterLines="0"/>
        <w:ind w:firstLine="0" w:firstLineChars="0"/>
        <w:rPr>
          <w:rFonts w:ascii="Times New Roman" w:hAnsi="Times New Roman" w:eastAsia="仿宋"/>
          <w:kern w:val="0"/>
          <w:sz w:val="30"/>
          <w:szCs w:val="30"/>
        </w:rPr>
      </w:pPr>
    </w:p>
    <w:sectPr>
      <w:headerReference r:id="rId20" w:type="first"/>
      <w:footerReference r:id="rId23" w:type="first"/>
      <w:headerReference r:id="rId18" w:type="default"/>
      <w:footerReference r:id="rId21" w:type="default"/>
      <w:headerReference r:id="rId19" w:type="even"/>
      <w:footerReference r:id="rId22" w:type="even"/>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24" w:after="2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9302024"/>
    </w:sdtPr>
    <w:sdtEndPr>
      <w:rPr>
        <w:rFonts w:ascii="Times New Roman" w:hAnsi="Times New Roman" w:cs="Times New Roman"/>
      </w:rPr>
    </w:sdtEndPr>
    <w:sdtContent>
      <w:p>
        <w:pPr>
          <w:pStyle w:val="12"/>
          <w:spacing w:before="24" w:after="2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t>12</w:t>
        </w:r>
        <w:r>
          <w:rPr>
            <w:rFonts w:ascii="Times New Roman" w:hAnsi="Times New Roman" w:cs="Times New Roman"/>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176767"/>
    </w:sdtPr>
    <w:sdtEndPr>
      <w:rPr>
        <w:rFonts w:ascii="Times New Roman" w:hAnsi="Times New Roman" w:cs="Times New Roman"/>
      </w:rPr>
    </w:sdtEndPr>
    <w:sdtContent>
      <w:p>
        <w:pPr>
          <w:pStyle w:val="12"/>
          <w:spacing w:before="24" w:after="2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t>21</w:t>
        </w:r>
        <w:r>
          <w:rPr>
            <w:rFonts w:ascii="Times New Roman" w:hAnsi="Times New Roman" w:cs="Times New Roman"/>
            <w:lang w:val="zh-C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3204213"/>
    </w:sdtPr>
    <w:sdtEndPr>
      <w:rPr>
        <w:rFonts w:ascii="Times New Roman" w:hAnsi="Times New Roman" w:cs="Times New Roman"/>
      </w:rPr>
    </w:sdtEndPr>
    <w:sdtContent>
      <w:p>
        <w:pPr>
          <w:pStyle w:val="12"/>
          <w:spacing w:before="24" w:after="2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t>33</w:t>
        </w:r>
        <w:r>
          <w:rPr>
            <w:rFonts w:ascii="Times New Roman" w:hAnsi="Times New Roman" w:cs="Times New Roman"/>
            <w:lang w:val="zh-CN"/>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24" w:after="24"/>
      <w:ind w:firstLine="360"/>
      <w:rPr>
        <w:vanis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24" w:after="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24" w:after="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before="24" w:after="24"/>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24" w:after="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24" w:after="2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spacing w:before="24" w:after="24"/>
      <w:ind w:firstLine="0" w:firstLineChars="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24" w:after="24"/>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24" w:after="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A5C1E"/>
    <w:multiLevelType w:val="multilevel"/>
    <w:tmpl w:val="284A5C1E"/>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0ZjZjMWVmYzg2ODM1ZjMwOTRiZDBkMzNiNDMwNjEifQ=="/>
  </w:docVars>
  <w:rsids>
    <w:rsidRoot w:val="006406B7"/>
    <w:rsid w:val="00000DD0"/>
    <w:rsid w:val="00002026"/>
    <w:rsid w:val="0000204A"/>
    <w:rsid w:val="00004C68"/>
    <w:rsid w:val="000101E5"/>
    <w:rsid w:val="00010C03"/>
    <w:rsid w:val="000129E3"/>
    <w:rsid w:val="00015BCD"/>
    <w:rsid w:val="0001679F"/>
    <w:rsid w:val="0001737E"/>
    <w:rsid w:val="000175E8"/>
    <w:rsid w:val="00020846"/>
    <w:rsid w:val="00020CD7"/>
    <w:rsid w:val="00021636"/>
    <w:rsid w:val="000218CA"/>
    <w:rsid w:val="000233C8"/>
    <w:rsid w:val="00023B13"/>
    <w:rsid w:val="00024DA7"/>
    <w:rsid w:val="000257FA"/>
    <w:rsid w:val="00025A5C"/>
    <w:rsid w:val="00025B06"/>
    <w:rsid w:val="00030757"/>
    <w:rsid w:val="00032613"/>
    <w:rsid w:val="00033250"/>
    <w:rsid w:val="000334D6"/>
    <w:rsid w:val="00034908"/>
    <w:rsid w:val="00035C25"/>
    <w:rsid w:val="000368BD"/>
    <w:rsid w:val="00036AED"/>
    <w:rsid w:val="00037155"/>
    <w:rsid w:val="00037916"/>
    <w:rsid w:val="00037F92"/>
    <w:rsid w:val="0004024B"/>
    <w:rsid w:val="00040B83"/>
    <w:rsid w:val="00041149"/>
    <w:rsid w:val="0004148B"/>
    <w:rsid w:val="00042460"/>
    <w:rsid w:val="0004251D"/>
    <w:rsid w:val="000432B7"/>
    <w:rsid w:val="00044395"/>
    <w:rsid w:val="000461D8"/>
    <w:rsid w:val="00050949"/>
    <w:rsid w:val="00054B93"/>
    <w:rsid w:val="00054C8E"/>
    <w:rsid w:val="00057F9B"/>
    <w:rsid w:val="000601A5"/>
    <w:rsid w:val="00060A09"/>
    <w:rsid w:val="00061A49"/>
    <w:rsid w:val="00063395"/>
    <w:rsid w:val="00064D73"/>
    <w:rsid w:val="00067017"/>
    <w:rsid w:val="000709C3"/>
    <w:rsid w:val="000713C7"/>
    <w:rsid w:val="00072228"/>
    <w:rsid w:val="000726C6"/>
    <w:rsid w:val="000754B1"/>
    <w:rsid w:val="00075AC6"/>
    <w:rsid w:val="000771D2"/>
    <w:rsid w:val="00081559"/>
    <w:rsid w:val="00084860"/>
    <w:rsid w:val="000857C0"/>
    <w:rsid w:val="0008709E"/>
    <w:rsid w:val="00087B33"/>
    <w:rsid w:val="00087FB8"/>
    <w:rsid w:val="00090C23"/>
    <w:rsid w:val="000916C0"/>
    <w:rsid w:val="00094B41"/>
    <w:rsid w:val="00097B2B"/>
    <w:rsid w:val="000A022A"/>
    <w:rsid w:val="000A0E9B"/>
    <w:rsid w:val="000A1533"/>
    <w:rsid w:val="000A224E"/>
    <w:rsid w:val="000A3230"/>
    <w:rsid w:val="000A34E6"/>
    <w:rsid w:val="000A4297"/>
    <w:rsid w:val="000A69CC"/>
    <w:rsid w:val="000A6D69"/>
    <w:rsid w:val="000A744F"/>
    <w:rsid w:val="000A7D43"/>
    <w:rsid w:val="000B033A"/>
    <w:rsid w:val="000B0413"/>
    <w:rsid w:val="000B0BD9"/>
    <w:rsid w:val="000B191F"/>
    <w:rsid w:val="000B2438"/>
    <w:rsid w:val="000B5E64"/>
    <w:rsid w:val="000C05F8"/>
    <w:rsid w:val="000C1BC5"/>
    <w:rsid w:val="000C2435"/>
    <w:rsid w:val="000C2F74"/>
    <w:rsid w:val="000C2FDE"/>
    <w:rsid w:val="000C6079"/>
    <w:rsid w:val="000C6197"/>
    <w:rsid w:val="000C75E7"/>
    <w:rsid w:val="000D0D2E"/>
    <w:rsid w:val="000D3A12"/>
    <w:rsid w:val="000D40E1"/>
    <w:rsid w:val="000D43E9"/>
    <w:rsid w:val="000D45F8"/>
    <w:rsid w:val="000D4944"/>
    <w:rsid w:val="000D5C10"/>
    <w:rsid w:val="000D609E"/>
    <w:rsid w:val="000E1796"/>
    <w:rsid w:val="000E27E9"/>
    <w:rsid w:val="000E43FA"/>
    <w:rsid w:val="000E4C8E"/>
    <w:rsid w:val="000E53E5"/>
    <w:rsid w:val="000E60F8"/>
    <w:rsid w:val="000E7DE9"/>
    <w:rsid w:val="000F0530"/>
    <w:rsid w:val="000F2999"/>
    <w:rsid w:val="000F3C44"/>
    <w:rsid w:val="000F4FD9"/>
    <w:rsid w:val="000F5114"/>
    <w:rsid w:val="000F60AA"/>
    <w:rsid w:val="000F65F2"/>
    <w:rsid w:val="001027E6"/>
    <w:rsid w:val="00103241"/>
    <w:rsid w:val="00103677"/>
    <w:rsid w:val="00103F96"/>
    <w:rsid w:val="001058EA"/>
    <w:rsid w:val="0011080C"/>
    <w:rsid w:val="0011138A"/>
    <w:rsid w:val="0011158D"/>
    <w:rsid w:val="001164FB"/>
    <w:rsid w:val="00117EA4"/>
    <w:rsid w:val="001216FC"/>
    <w:rsid w:val="00121A4D"/>
    <w:rsid w:val="00121DD0"/>
    <w:rsid w:val="0012441E"/>
    <w:rsid w:val="00125945"/>
    <w:rsid w:val="00127C13"/>
    <w:rsid w:val="00133425"/>
    <w:rsid w:val="00133760"/>
    <w:rsid w:val="001337A7"/>
    <w:rsid w:val="0014026D"/>
    <w:rsid w:val="001417CE"/>
    <w:rsid w:val="00143F8C"/>
    <w:rsid w:val="0014755B"/>
    <w:rsid w:val="00147F94"/>
    <w:rsid w:val="00150F39"/>
    <w:rsid w:val="001520E5"/>
    <w:rsid w:val="00152118"/>
    <w:rsid w:val="00153DD0"/>
    <w:rsid w:val="001556EC"/>
    <w:rsid w:val="00155830"/>
    <w:rsid w:val="00156FDA"/>
    <w:rsid w:val="001577DD"/>
    <w:rsid w:val="001600DD"/>
    <w:rsid w:val="001604EB"/>
    <w:rsid w:val="001608EC"/>
    <w:rsid w:val="00161A3A"/>
    <w:rsid w:val="00162C18"/>
    <w:rsid w:val="00163E34"/>
    <w:rsid w:val="0016517D"/>
    <w:rsid w:val="00166F89"/>
    <w:rsid w:val="0016730C"/>
    <w:rsid w:val="00167701"/>
    <w:rsid w:val="00167E0F"/>
    <w:rsid w:val="001726DA"/>
    <w:rsid w:val="00172AA5"/>
    <w:rsid w:val="00173016"/>
    <w:rsid w:val="00173B28"/>
    <w:rsid w:val="001753B3"/>
    <w:rsid w:val="00175E7C"/>
    <w:rsid w:val="001762E2"/>
    <w:rsid w:val="0017647E"/>
    <w:rsid w:val="00177074"/>
    <w:rsid w:val="00180FF8"/>
    <w:rsid w:val="0018126B"/>
    <w:rsid w:val="0018319C"/>
    <w:rsid w:val="00185ADF"/>
    <w:rsid w:val="00185D2D"/>
    <w:rsid w:val="00186532"/>
    <w:rsid w:val="00186F91"/>
    <w:rsid w:val="00187493"/>
    <w:rsid w:val="001918E7"/>
    <w:rsid w:val="00191A7B"/>
    <w:rsid w:val="001932BE"/>
    <w:rsid w:val="00194AFD"/>
    <w:rsid w:val="001971A9"/>
    <w:rsid w:val="0019732E"/>
    <w:rsid w:val="001976F8"/>
    <w:rsid w:val="0019770C"/>
    <w:rsid w:val="001A0AAF"/>
    <w:rsid w:val="001A0F12"/>
    <w:rsid w:val="001A2FBB"/>
    <w:rsid w:val="001A613C"/>
    <w:rsid w:val="001A662B"/>
    <w:rsid w:val="001B01D8"/>
    <w:rsid w:val="001B140B"/>
    <w:rsid w:val="001B1E26"/>
    <w:rsid w:val="001B2613"/>
    <w:rsid w:val="001B270F"/>
    <w:rsid w:val="001B2CC2"/>
    <w:rsid w:val="001B3059"/>
    <w:rsid w:val="001B3619"/>
    <w:rsid w:val="001B3769"/>
    <w:rsid w:val="001B3E22"/>
    <w:rsid w:val="001B5E90"/>
    <w:rsid w:val="001B664C"/>
    <w:rsid w:val="001B6803"/>
    <w:rsid w:val="001B72EA"/>
    <w:rsid w:val="001C2B28"/>
    <w:rsid w:val="001C3F56"/>
    <w:rsid w:val="001C4E5D"/>
    <w:rsid w:val="001C5999"/>
    <w:rsid w:val="001C6BC2"/>
    <w:rsid w:val="001C7890"/>
    <w:rsid w:val="001D0306"/>
    <w:rsid w:val="001D0C66"/>
    <w:rsid w:val="001D0E35"/>
    <w:rsid w:val="001D0F73"/>
    <w:rsid w:val="001D16CE"/>
    <w:rsid w:val="001D2950"/>
    <w:rsid w:val="001D54F3"/>
    <w:rsid w:val="001D5D6F"/>
    <w:rsid w:val="001E05E3"/>
    <w:rsid w:val="001E13A5"/>
    <w:rsid w:val="001E194C"/>
    <w:rsid w:val="001E22A2"/>
    <w:rsid w:val="001E43B4"/>
    <w:rsid w:val="001E46D9"/>
    <w:rsid w:val="001E47D8"/>
    <w:rsid w:val="001E4C52"/>
    <w:rsid w:val="001E5267"/>
    <w:rsid w:val="001E5FC6"/>
    <w:rsid w:val="001E6A1F"/>
    <w:rsid w:val="001F02D8"/>
    <w:rsid w:val="001F0736"/>
    <w:rsid w:val="001F0792"/>
    <w:rsid w:val="001F2941"/>
    <w:rsid w:val="001F3333"/>
    <w:rsid w:val="001F3E57"/>
    <w:rsid w:val="001F516A"/>
    <w:rsid w:val="001F5B1B"/>
    <w:rsid w:val="001F78B0"/>
    <w:rsid w:val="0020058A"/>
    <w:rsid w:val="00203A28"/>
    <w:rsid w:val="00212D7D"/>
    <w:rsid w:val="00214FE3"/>
    <w:rsid w:val="00217409"/>
    <w:rsid w:val="00217E58"/>
    <w:rsid w:val="00220A5E"/>
    <w:rsid w:val="0022255F"/>
    <w:rsid w:val="002239D5"/>
    <w:rsid w:val="00224527"/>
    <w:rsid w:val="00226C36"/>
    <w:rsid w:val="00227EB9"/>
    <w:rsid w:val="0023286D"/>
    <w:rsid w:val="00234FB3"/>
    <w:rsid w:val="00235C28"/>
    <w:rsid w:val="002363D7"/>
    <w:rsid w:val="00237FF3"/>
    <w:rsid w:val="00241055"/>
    <w:rsid w:val="00244C35"/>
    <w:rsid w:val="00246B8A"/>
    <w:rsid w:val="00247942"/>
    <w:rsid w:val="002515DF"/>
    <w:rsid w:val="00251B5E"/>
    <w:rsid w:val="00251C38"/>
    <w:rsid w:val="002522C4"/>
    <w:rsid w:val="00255D11"/>
    <w:rsid w:val="0026021D"/>
    <w:rsid w:val="00261B5A"/>
    <w:rsid w:val="0026265D"/>
    <w:rsid w:val="0026271A"/>
    <w:rsid w:val="002642F4"/>
    <w:rsid w:val="00264E9B"/>
    <w:rsid w:val="00265985"/>
    <w:rsid w:val="00267C83"/>
    <w:rsid w:val="002709CC"/>
    <w:rsid w:val="002726B1"/>
    <w:rsid w:val="00272766"/>
    <w:rsid w:val="00273523"/>
    <w:rsid w:val="002756A7"/>
    <w:rsid w:val="00275A81"/>
    <w:rsid w:val="002762DE"/>
    <w:rsid w:val="0027664D"/>
    <w:rsid w:val="002767E4"/>
    <w:rsid w:val="00277C3B"/>
    <w:rsid w:val="00280350"/>
    <w:rsid w:val="00280428"/>
    <w:rsid w:val="00281EE1"/>
    <w:rsid w:val="002840CC"/>
    <w:rsid w:val="0028458A"/>
    <w:rsid w:val="00285660"/>
    <w:rsid w:val="00286696"/>
    <w:rsid w:val="00286EBB"/>
    <w:rsid w:val="00286F5A"/>
    <w:rsid w:val="002870D9"/>
    <w:rsid w:val="002916CE"/>
    <w:rsid w:val="00292DE0"/>
    <w:rsid w:val="002947D1"/>
    <w:rsid w:val="002A15A3"/>
    <w:rsid w:val="002A275F"/>
    <w:rsid w:val="002A3C5A"/>
    <w:rsid w:val="002B1DA2"/>
    <w:rsid w:val="002B2729"/>
    <w:rsid w:val="002B3F1B"/>
    <w:rsid w:val="002B44AD"/>
    <w:rsid w:val="002B4FB4"/>
    <w:rsid w:val="002B551E"/>
    <w:rsid w:val="002B689C"/>
    <w:rsid w:val="002B7AB2"/>
    <w:rsid w:val="002B7FC7"/>
    <w:rsid w:val="002C1C6F"/>
    <w:rsid w:val="002C1D4A"/>
    <w:rsid w:val="002C2468"/>
    <w:rsid w:val="002C5A1B"/>
    <w:rsid w:val="002C7B58"/>
    <w:rsid w:val="002D269E"/>
    <w:rsid w:val="002D2C08"/>
    <w:rsid w:val="002D319E"/>
    <w:rsid w:val="002D541F"/>
    <w:rsid w:val="002D6BE1"/>
    <w:rsid w:val="002D7F71"/>
    <w:rsid w:val="002E1067"/>
    <w:rsid w:val="002E20E8"/>
    <w:rsid w:val="002E24B1"/>
    <w:rsid w:val="002E261D"/>
    <w:rsid w:val="002F0239"/>
    <w:rsid w:val="002F0467"/>
    <w:rsid w:val="002F0A04"/>
    <w:rsid w:val="002F1752"/>
    <w:rsid w:val="002F19B0"/>
    <w:rsid w:val="002F1B2A"/>
    <w:rsid w:val="002F51E7"/>
    <w:rsid w:val="002F53BC"/>
    <w:rsid w:val="002F66D3"/>
    <w:rsid w:val="003000A9"/>
    <w:rsid w:val="00300ACD"/>
    <w:rsid w:val="003037B6"/>
    <w:rsid w:val="003045FD"/>
    <w:rsid w:val="0030592D"/>
    <w:rsid w:val="00305C2B"/>
    <w:rsid w:val="0030672D"/>
    <w:rsid w:val="00306A1C"/>
    <w:rsid w:val="00306D70"/>
    <w:rsid w:val="0031035A"/>
    <w:rsid w:val="00310CD7"/>
    <w:rsid w:val="00311E5D"/>
    <w:rsid w:val="003136D7"/>
    <w:rsid w:val="003137AA"/>
    <w:rsid w:val="00316865"/>
    <w:rsid w:val="0032069B"/>
    <w:rsid w:val="00321E0D"/>
    <w:rsid w:val="00321ECF"/>
    <w:rsid w:val="00323917"/>
    <w:rsid w:val="00324E78"/>
    <w:rsid w:val="003273CD"/>
    <w:rsid w:val="00332541"/>
    <w:rsid w:val="0033410A"/>
    <w:rsid w:val="00334717"/>
    <w:rsid w:val="00334B0A"/>
    <w:rsid w:val="00335139"/>
    <w:rsid w:val="00336607"/>
    <w:rsid w:val="00340000"/>
    <w:rsid w:val="00340CB6"/>
    <w:rsid w:val="003419AE"/>
    <w:rsid w:val="00342058"/>
    <w:rsid w:val="00342673"/>
    <w:rsid w:val="00342D32"/>
    <w:rsid w:val="0034568C"/>
    <w:rsid w:val="00345781"/>
    <w:rsid w:val="00345823"/>
    <w:rsid w:val="0034624B"/>
    <w:rsid w:val="00346975"/>
    <w:rsid w:val="00347303"/>
    <w:rsid w:val="003506AF"/>
    <w:rsid w:val="00350B72"/>
    <w:rsid w:val="003526BB"/>
    <w:rsid w:val="003531B4"/>
    <w:rsid w:val="003543FC"/>
    <w:rsid w:val="00355FE0"/>
    <w:rsid w:val="00356CC7"/>
    <w:rsid w:val="00362543"/>
    <w:rsid w:val="003628DC"/>
    <w:rsid w:val="003631C8"/>
    <w:rsid w:val="00366871"/>
    <w:rsid w:val="003737C1"/>
    <w:rsid w:val="00373EB6"/>
    <w:rsid w:val="003748EB"/>
    <w:rsid w:val="0037498F"/>
    <w:rsid w:val="00374CE4"/>
    <w:rsid w:val="00374F59"/>
    <w:rsid w:val="00375D45"/>
    <w:rsid w:val="00377D8B"/>
    <w:rsid w:val="0038062A"/>
    <w:rsid w:val="00380DB1"/>
    <w:rsid w:val="003817C4"/>
    <w:rsid w:val="00387794"/>
    <w:rsid w:val="00390749"/>
    <w:rsid w:val="003925C1"/>
    <w:rsid w:val="00393402"/>
    <w:rsid w:val="0039345F"/>
    <w:rsid w:val="00395172"/>
    <w:rsid w:val="00397B13"/>
    <w:rsid w:val="00397FE1"/>
    <w:rsid w:val="003A13BF"/>
    <w:rsid w:val="003A140B"/>
    <w:rsid w:val="003A14F8"/>
    <w:rsid w:val="003A2A1F"/>
    <w:rsid w:val="003A5219"/>
    <w:rsid w:val="003A5D40"/>
    <w:rsid w:val="003B0816"/>
    <w:rsid w:val="003B0F70"/>
    <w:rsid w:val="003B3364"/>
    <w:rsid w:val="003B4F00"/>
    <w:rsid w:val="003B55A0"/>
    <w:rsid w:val="003C0036"/>
    <w:rsid w:val="003C1A26"/>
    <w:rsid w:val="003C3999"/>
    <w:rsid w:val="003C3E5A"/>
    <w:rsid w:val="003C4842"/>
    <w:rsid w:val="003C4B7A"/>
    <w:rsid w:val="003C611B"/>
    <w:rsid w:val="003C7669"/>
    <w:rsid w:val="003D013D"/>
    <w:rsid w:val="003D0214"/>
    <w:rsid w:val="003D0CE9"/>
    <w:rsid w:val="003D27A5"/>
    <w:rsid w:val="003D6196"/>
    <w:rsid w:val="003E0903"/>
    <w:rsid w:val="003E3D05"/>
    <w:rsid w:val="003E6B50"/>
    <w:rsid w:val="003E7950"/>
    <w:rsid w:val="003F0F1A"/>
    <w:rsid w:val="003F11BE"/>
    <w:rsid w:val="003F20F1"/>
    <w:rsid w:val="003F2924"/>
    <w:rsid w:val="003F2D6A"/>
    <w:rsid w:val="003F3540"/>
    <w:rsid w:val="003F3AA3"/>
    <w:rsid w:val="003F4BDC"/>
    <w:rsid w:val="003F5AFD"/>
    <w:rsid w:val="003F5E89"/>
    <w:rsid w:val="003F67A1"/>
    <w:rsid w:val="003F7604"/>
    <w:rsid w:val="003F7D36"/>
    <w:rsid w:val="00400600"/>
    <w:rsid w:val="00402493"/>
    <w:rsid w:val="00402F31"/>
    <w:rsid w:val="00403223"/>
    <w:rsid w:val="00403921"/>
    <w:rsid w:val="00404627"/>
    <w:rsid w:val="004051D2"/>
    <w:rsid w:val="00406223"/>
    <w:rsid w:val="004102DD"/>
    <w:rsid w:val="00410A17"/>
    <w:rsid w:val="00411854"/>
    <w:rsid w:val="00411E7C"/>
    <w:rsid w:val="0041614E"/>
    <w:rsid w:val="0042091C"/>
    <w:rsid w:val="00420E97"/>
    <w:rsid w:val="00421A84"/>
    <w:rsid w:val="00421AB0"/>
    <w:rsid w:val="004268F0"/>
    <w:rsid w:val="00426E8B"/>
    <w:rsid w:val="004274DA"/>
    <w:rsid w:val="00427726"/>
    <w:rsid w:val="00427D92"/>
    <w:rsid w:val="0043036F"/>
    <w:rsid w:val="00431C60"/>
    <w:rsid w:val="004323C4"/>
    <w:rsid w:val="004325BB"/>
    <w:rsid w:val="004333FE"/>
    <w:rsid w:val="00434CC3"/>
    <w:rsid w:val="004354B3"/>
    <w:rsid w:val="00437162"/>
    <w:rsid w:val="00437FE3"/>
    <w:rsid w:val="004405F8"/>
    <w:rsid w:val="004410EF"/>
    <w:rsid w:val="00444665"/>
    <w:rsid w:val="00444745"/>
    <w:rsid w:val="004457E2"/>
    <w:rsid w:val="00445B64"/>
    <w:rsid w:val="004502C5"/>
    <w:rsid w:val="00450BAA"/>
    <w:rsid w:val="004514CB"/>
    <w:rsid w:val="0045331F"/>
    <w:rsid w:val="0045349D"/>
    <w:rsid w:val="0045364B"/>
    <w:rsid w:val="00453AB7"/>
    <w:rsid w:val="004547E4"/>
    <w:rsid w:val="00455BFD"/>
    <w:rsid w:val="00456EA0"/>
    <w:rsid w:val="00456F8B"/>
    <w:rsid w:val="0046105E"/>
    <w:rsid w:val="00462379"/>
    <w:rsid w:val="004627EF"/>
    <w:rsid w:val="00464109"/>
    <w:rsid w:val="00470956"/>
    <w:rsid w:val="004728D1"/>
    <w:rsid w:val="00474881"/>
    <w:rsid w:val="00475317"/>
    <w:rsid w:val="00475D7F"/>
    <w:rsid w:val="00476D74"/>
    <w:rsid w:val="0048214F"/>
    <w:rsid w:val="00483D64"/>
    <w:rsid w:val="0048539C"/>
    <w:rsid w:val="004860E4"/>
    <w:rsid w:val="004906B1"/>
    <w:rsid w:val="00491723"/>
    <w:rsid w:val="0049356E"/>
    <w:rsid w:val="00493859"/>
    <w:rsid w:val="004938BC"/>
    <w:rsid w:val="00493FB2"/>
    <w:rsid w:val="004940C8"/>
    <w:rsid w:val="004950CF"/>
    <w:rsid w:val="00495F42"/>
    <w:rsid w:val="00496CB5"/>
    <w:rsid w:val="0049729A"/>
    <w:rsid w:val="0049774E"/>
    <w:rsid w:val="004A1105"/>
    <w:rsid w:val="004A1658"/>
    <w:rsid w:val="004A3667"/>
    <w:rsid w:val="004A42A1"/>
    <w:rsid w:val="004A42AE"/>
    <w:rsid w:val="004A5367"/>
    <w:rsid w:val="004A677C"/>
    <w:rsid w:val="004A7BF9"/>
    <w:rsid w:val="004B00CA"/>
    <w:rsid w:val="004B3745"/>
    <w:rsid w:val="004B3E0D"/>
    <w:rsid w:val="004B5D8A"/>
    <w:rsid w:val="004B70F3"/>
    <w:rsid w:val="004B7AA8"/>
    <w:rsid w:val="004C32C4"/>
    <w:rsid w:val="004C58B5"/>
    <w:rsid w:val="004C5930"/>
    <w:rsid w:val="004C64AA"/>
    <w:rsid w:val="004D0F48"/>
    <w:rsid w:val="004D14C7"/>
    <w:rsid w:val="004D2202"/>
    <w:rsid w:val="004D4040"/>
    <w:rsid w:val="004D423B"/>
    <w:rsid w:val="004D47B3"/>
    <w:rsid w:val="004D6163"/>
    <w:rsid w:val="004D630A"/>
    <w:rsid w:val="004D66D7"/>
    <w:rsid w:val="004D79E7"/>
    <w:rsid w:val="004D7D13"/>
    <w:rsid w:val="004E04E7"/>
    <w:rsid w:val="004E0D79"/>
    <w:rsid w:val="004E1EA8"/>
    <w:rsid w:val="004E55C0"/>
    <w:rsid w:val="004E580B"/>
    <w:rsid w:val="004E618A"/>
    <w:rsid w:val="004F2830"/>
    <w:rsid w:val="004F2F40"/>
    <w:rsid w:val="004F4913"/>
    <w:rsid w:val="004F515F"/>
    <w:rsid w:val="004F5AD4"/>
    <w:rsid w:val="004F62A0"/>
    <w:rsid w:val="004F7C7C"/>
    <w:rsid w:val="00500BC2"/>
    <w:rsid w:val="00501B01"/>
    <w:rsid w:val="00501C80"/>
    <w:rsid w:val="00502A57"/>
    <w:rsid w:val="00503147"/>
    <w:rsid w:val="00503C57"/>
    <w:rsid w:val="00507499"/>
    <w:rsid w:val="00507F77"/>
    <w:rsid w:val="00510387"/>
    <w:rsid w:val="00512083"/>
    <w:rsid w:val="005122EE"/>
    <w:rsid w:val="00512331"/>
    <w:rsid w:val="0051291D"/>
    <w:rsid w:val="00512B54"/>
    <w:rsid w:val="00512F0E"/>
    <w:rsid w:val="00515DFB"/>
    <w:rsid w:val="005175F5"/>
    <w:rsid w:val="005205BE"/>
    <w:rsid w:val="0052191D"/>
    <w:rsid w:val="005219E8"/>
    <w:rsid w:val="00521C61"/>
    <w:rsid w:val="005220DC"/>
    <w:rsid w:val="00523B77"/>
    <w:rsid w:val="00524E7D"/>
    <w:rsid w:val="00524F82"/>
    <w:rsid w:val="00525732"/>
    <w:rsid w:val="0052656C"/>
    <w:rsid w:val="005266FD"/>
    <w:rsid w:val="00526FA8"/>
    <w:rsid w:val="00527D58"/>
    <w:rsid w:val="00530482"/>
    <w:rsid w:val="005319D8"/>
    <w:rsid w:val="00532090"/>
    <w:rsid w:val="00532AA9"/>
    <w:rsid w:val="00533B8A"/>
    <w:rsid w:val="00534AD8"/>
    <w:rsid w:val="00535A2B"/>
    <w:rsid w:val="0053717D"/>
    <w:rsid w:val="00537E9A"/>
    <w:rsid w:val="00541228"/>
    <w:rsid w:val="00541BEC"/>
    <w:rsid w:val="0054239A"/>
    <w:rsid w:val="0054277E"/>
    <w:rsid w:val="00543C13"/>
    <w:rsid w:val="00544891"/>
    <w:rsid w:val="005449AA"/>
    <w:rsid w:val="00544B31"/>
    <w:rsid w:val="0055060E"/>
    <w:rsid w:val="00552310"/>
    <w:rsid w:val="00554991"/>
    <w:rsid w:val="00556874"/>
    <w:rsid w:val="005572BF"/>
    <w:rsid w:val="0056045C"/>
    <w:rsid w:val="005627F5"/>
    <w:rsid w:val="005628B5"/>
    <w:rsid w:val="00562B68"/>
    <w:rsid w:val="0056689B"/>
    <w:rsid w:val="00566F72"/>
    <w:rsid w:val="00567622"/>
    <w:rsid w:val="00567C79"/>
    <w:rsid w:val="005712CA"/>
    <w:rsid w:val="00573F05"/>
    <w:rsid w:val="005758F0"/>
    <w:rsid w:val="00575B2A"/>
    <w:rsid w:val="00575BC5"/>
    <w:rsid w:val="00575E1B"/>
    <w:rsid w:val="005764BA"/>
    <w:rsid w:val="00581F62"/>
    <w:rsid w:val="00582E1D"/>
    <w:rsid w:val="00587C8B"/>
    <w:rsid w:val="005903DE"/>
    <w:rsid w:val="00590514"/>
    <w:rsid w:val="00590F53"/>
    <w:rsid w:val="00592B56"/>
    <w:rsid w:val="00593EAA"/>
    <w:rsid w:val="0059547F"/>
    <w:rsid w:val="00595EF0"/>
    <w:rsid w:val="00596363"/>
    <w:rsid w:val="00597A42"/>
    <w:rsid w:val="00597DC1"/>
    <w:rsid w:val="005A086E"/>
    <w:rsid w:val="005A0E45"/>
    <w:rsid w:val="005A4D6C"/>
    <w:rsid w:val="005A67D6"/>
    <w:rsid w:val="005B05C9"/>
    <w:rsid w:val="005B19D0"/>
    <w:rsid w:val="005B3DBB"/>
    <w:rsid w:val="005B45E4"/>
    <w:rsid w:val="005B59AA"/>
    <w:rsid w:val="005C0356"/>
    <w:rsid w:val="005C21A1"/>
    <w:rsid w:val="005C4D4A"/>
    <w:rsid w:val="005C53CB"/>
    <w:rsid w:val="005C5D56"/>
    <w:rsid w:val="005C5FE8"/>
    <w:rsid w:val="005C6BB9"/>
    <w:rsid w:val="005C6BDA"/>
    <w:rsid w:val="005C7051"/>
    <w:rsid w:val="005C73F2"/>
    <w:rsid w:val="005C7BC3"/>
    <w:rsid w:val="005D1ED2"/>
    <w:rsid w:val="005D4BD5"/>
    <w:rsid w:val="005D50DA"/>
    <w:rsid w:val="005D64CD"/>
    <w:rsid w:val="005D68D9"/>
    <w:rsid w:val="005D7632"/>
    <w:rsid w:val="005E01F9"/>
    <w:rsid w:val="005E0F09"/>
    <w:rsid w:val="005E1B73"/>
    <w:rsid w:val="005E210A"/>
    <w:rsid w:val="005E235B"/>
    <w:rsid w:val="005E30C3"/>
    <w:rsid w:val="005E3A43"/>
    <w:rsid w:val="005E6C6C"/>
    <w:rsid w:val="005E7040"/>
    <w:rsid w:val="005F220D"/>
    <w:rsid w:val="005F25FD"/>
    <w:rsid w:val="005F2B0E"/>
    <w:rsid w:val="005F35E9"/>
    <w:rsid w:val="005F4351"/>
    <w:rsid w:val="005F43CF"/>
    <w:rsid w:val="005F4E0A"/>
    <w:rsid w:val="005F6732"/>
    <w:rsid w:val="005F7C3C"/>
    <w:rsid w:val="006052F8"/>
    <w:rsid w:val="00605F6A"/>
    <w:rsid w:val="0060627D"/>
    <w:rsid w:val="00606574"/>
    <w:rsid w:val="0060719D"/>
    <w:rsid w:val="006073C9"/>
    <w:rsid w:val="00610117"/>
    <w:rsid w:val="00610AAF"/>
    <w:rsid w:val="00610F86"/>
    <w:rsid w:val="00611C51"/>
    <w:rsid w:val="00611C91"/>
    <w:rsid w:val="00615E84"/>
    <w:rsid w:val="0061600C"/>
    <w:rsid w:val="00616C32"/>
    <w:rsid w:val="006203A7"/>
    <w:rsid w:val="0062248B"/>
    <w:rsid w:val="0062263B"/>
    <w:rsid w:val="0062356E"/>
    <w:rsid w:val="006238A0"/>
    <w:rsid w:val="00626E23"/>
    <w:rsid w:val="00626F3A"/>
    <w:rsid w:val="00630469"/>
    <w:rsid w:val="00630C7C"/>
    <w:rsid w:val="00631A17"/>
    <w:rsid w:val="00631A40"/>
    <w:rsid w:val="00631BCB"/>
    <w:rsid w:val="00631BDC"/>
    <w:rsid w:val="006321A0"/>
    <w:rsid w:val="00632D63"/>
    <w:rsid w:val="00633304"/>
    <w:rsid w:val="00633616"/>
    <w:rsid w:val="006341F7"/>
    <w:rsid w:val="00636C9D"/>
    <w:rsid w:val="00636F10"/>
    <w:rsid w:val="0064067F"/>
    <w:rsid w:val="006406B7"/>
    <w:rsid w:val="00641E66"/>
    <w:rsid w:val="00642397"/>
    <w:rsid w:val="00646B11"/>
    <w:rsid w:val="0064740D"/>
    <w:rsid w:val="0065166D"/>
    <w:rsid w:val="006517F8"/>
    <w:rsid w:val="00651A12"/>
    <w:rsid w:val="00653C20"/>
    <w:rsid w:val="00656393"/>
    <w:rsid w:val="00656CF3"/>
    <w:rsid w:val="006579A0"/>
    <w:rsid w:val="00660E7C"/>
    <w:rsid w:val="00662B45"/>
    <w:rsid w:val="00665694"/>
    <w:rsid w:val="00666D4D"/>
    <w:rsid w:val="00667231"/>
    <w:rsid w:val="00667511"/>
    <w:rsid w:val="00667D9E"/>
    <w:rsid w:val="006702DC"/>
    <w:rsid w:val="00670FE8"/>
    <w:rsid w:val="0067130F"/>
    <w:rsid w:val="0067150A"/>
    <w:rsid w:val="006725A1"/>
    <w:rsid w:val="006745C0"/>
    <w:rsid w:val="00674A88"/>
    <w:rsid w:val="006767C1"/>
    <w:rsid w:val="00676B16"/>
    <w:rsid w:val="00677699"/>
    <w:rsid w:val="00681AFC"/>
    <w:rsid w:val="006822BD"/>
    <w:rsid w:val="006823EF"/>
    <w:rsid w:val="00682A84"/>
    <w:rsid w:val="006832FB"/>
    <w:rsid w:val="0068388E"/>
    <w:rsid w:val="00683ABA"/>
    <w:rsid w:val="006848A3"/>
    <w:rsid w:val="00684C8F"/>
    <w:rsid w:val="00686CAA"/>
    <w:rsid w:val="0068788E"/>
    <w:rsid w:val="00691BBD"/>
    <w:rsid w:val="0069237A"/>
    <w:rsid w:val="006940D7"/>
    <w:rsid w:val="0069492D"/>
    <w:rsid w:val="006967D4"/>
    <w:rsid w:val="006967D8"/>
    <w:rsid w:val="00696A61"/>
    <w:rsid w:val="006971D5"/>
    <w:rsid w:val="0069789C"/>
    <w:rsid w:val="006A0A31"/>
    <w:rsid w:val="006A174E"/>
    <w:rsid w:val="006A1C43"/>
    <w:rsid w:val="006A2DF8"/>
    <w:rsid w:val="006A59F7"/>
    <w:rsid w:val="006B1989"/>
    <w:rsid w:val="006B28DA"/>
    <w:rsid w:val="006B2F1D"/>
    <w:rsid w:val="006B35C8"/>
    <w:rsid w:val="006B36D3"/>
    <w:rsid w:val="006B621C"/>
    <w:rsid w:val="006B6553"/>
    <w:rsid w:val="006B6C73"/>
    <w:rsid w:val="006B7872"/>
    <w:rsid w:val="006B7AFA"/>
    <w:rsid w:val="006C299A"/>
    <w:rsid w:val="006C3363"/>
    <w:rsid w:val="006C39D1"/>
    <w:rsid w:val="006C4EE0"/>
    <w:rsid w:val="006C56E0"/>
    <w:rsid w:val="006C6103"/>
    <w:rsid w:val="006C6BA1"/>
    <w:rsid w:val="006D08C4"/>
    <w:rsid w:val="006D0A68"/>
    <w:rsid w:val="006D0DB2"/>
    <w:rsid w:val="006D2772"/>
    <w:rsid w:val="006D2E9F"/>
    <w:rsid w:val="006D3115"/>
    <w:rsid w:val="006D3CE5"/>
    <w:rsid w:val="006D527C"/>
    <w:rsid w:val="006D6C3C"/>
    <w:rsid w:val="006D7C04"/>
    <w:rsid w:val="006E0F90"/>
    <w:rsid w:val="006E23B8"/>
    <w:rsid w:val="006E3F02"/>
    <w:rsid w:val="006E5931"/>
    <w:rsid w:val="006E5A01"/>
    <w:rsid w:val="006E62A7"/>
    <w:rsid w:val="006E6AC9"/>
    <w:rsid w:val="006E7120"/>
    <w:rsid w:val="006E765E"/>
    <w:rsid w:val="006F03B7"/>
    <w:rsid w:val="006F0BA3"/>
    <w:rsid w:val="006F1509"/>
    <w:rsid w:val="006F1D8B"/>
    <w:rsid w:val="006F23F0"/>
    <w:rsid w:val="006F2E53"/>
    <w:rsid w:val="006F2F61"/>
    <w:rsid w:val="006F5101"/>
    <w:rsid w:val="006F522F"/>
    <w:rsid w:val="006F5EC6"/>
    <w:rsid w:val="00700C18"/>
    <w:rsid w:val="00701BB2"/>
    <w:rsid w:val="00701F3C"/>
    <w:rsid w:val="00702A45"/>
    <w:rsid w:val="00704917"/>
    <w:rsid w:val="00705C89"/>
    <w:rsid w:val="00706BF0"/>
    <w:rsid w:val="00710A8C"/>
    <w:rsid w:val="00711415"/>
    <w:rsid w:val="00711968"/>
    <w:rsid w:val="007120B7"/>
    <w:rsid w:val="007122B2"/>
    <w:rsid w:val="007123F2"/>
    <w:rsid w:val="00714544"/>
    <w:rsid w:val="007146EB"/>
    <w:rsid w:val="007147D7"/>
    <w:rsid w:val="00714F1C"/>
    <w:rsid w:val="0071651B"/>
    <w:rsid w:val="00717068"/>
    <w:rsid w:val="00717992"/>
    <w:rsid w:val="007202A2"/>
    <w:rsid w:val="00720DA3"/>
    <w:rsid w:val="00721E01"/>
    <w:rsid w:val="007220E2"/>
    <w:rsid w:val="0072365D"/>
    <w:rsid w:val="00724A6B"/>
    <w:rsid w:val="00725512"/>
    <w:rsid w:val="00725901"/>
    <w:rsid w:val="00725A1C"/>
    <w:rsid w:val="007275A4"/>
    <w:rsid w:val="00731226"/>
    <w:rsid w:val="007318C9"/>
    <w:rsid w:val="00732CB2"/>
    <w:rsid w:val="00733AC0"/>
    <w:rsid w:val="0074134A"/>
    <w:rsid w:val="00741F96"/>
    <w:rsid w:val="00745985"/>
    <w:rsid w:val="007475CD"/>
    <w:rsid w:val="00751BD9"/>
    <w:rsid w:val="007526A9"/>
    <w:rsid w:val="00754062"/>
    <w:rsid w:val="0075550A"/>
    <w:rsid w:val="00757A34"/>
    <w:rsid w:val="00757FEB"/>
    <w:rsid w:val="00761148"/>
    <w:rsid w:val="00761A4C"/>
    <w:rsid w:val="007646AB"/>
    <w:rsid w:val="007663C0"/>
    <w:rsid w:val="00766A80"/>
    <w:rsid w:val="00771306"/>
    <w:rsid w:val="00772260"/>
    <w:rsid w:val="007730A6"/>
    <w:rsid w:val="00773B01"/>
    <w:rsid w:val="0077434A"/>
    <w:rsid w:val="007749D3"/>
    <w:rsid w:val="00775B16"/>
    <w:rsid w:val="00777531"/>
    <w:rsid w:val="0078062B"/>
    <w:rsid w:val="00780C90"/>
    <w:rsid w:val="007818F0"/>
    <w:rsid w:val="007822BE"/>
    <w:rsid w:val="00783A73"/>
    <w:rsid w:val="00784280"/>
    <w:rsid w:val="00784554"/>
    <w:rsid w:val="00784B99"/>
    <w:rsid w:val="00790D42"/>
    <w:rsid w:val="00791ECC"/>
    <w:rsid w:val="007921AD"/>
    <w:rsid w:val="007928A0"/>
    <w:rsid w:val="007929AE"/>
    <w:rsid w:val="0079678E"/>
    <w:rsid w:val="0079716E"/>
    <w:rsid w:val="007A0C19"/>
    <w:rsid w:val="007A1653"/>
    <w:rsid w:val="007A1E7B"/>
    <w:rsid w:val="007A3D4F"/>
    <w:rsid w:val="007A60C7"/>
    <w:rsid w:val="007B0500"/>
    <w:rsid w:val="007B07BF"/>
    <w:rsid w:val="007B0D01"/>
    <w:rsid w:val="007B0FEF"/>
    <w:rsid w:val="007B17BC"/>
    <w:rsid w:val="007B1BD5"/>
    <w:rsid w:val="007B3A89"/>
    <w:rsid w:val="007B3C22"/>
    <w:rsid w:val="007B4695"/>
    <w:rsid w:val="007B4803"/>
    <w:rsid w:val="007B537D"/>
    <w:rsid w:val="007B74FA"/>
    <w:rsid w:val="007C10A0"/>
    <w:rsid w:val="007C1C35"/>
    <w:rsid w:val="007C217E"/>
    <w:rsid w:val="007C25BE"/>
    <w:rsid w:val="007C44A5"/>
    <w:rsid w:val="007C7121"/>
    <w:rsid w:val="007D238B"/>
    <w:rsid w:val="007D470B"/>
    <w:rsid w:val="007D684C"/>
    <w:rsid w:val="007D6A53"/>
    <w:rsid w:val="007D6E5A"/>
    <w:rsid w:val="007D761C"/>
    <w:rsid w:val="007D775B"/>
    <w:rsid w:val="007E57C3"/>
    <w:rsid w:val="007E5B81"/>
    <w:rsid w:val="007E7022"/>
    <w:rsid w:val="007F1A3A"/>
    <w:rsid w:val="007F1ACC"/>
    <w:rsid w:val="007F372A"/>
    <w:rsid w:val="007F6CED"/>
    <w:rsid w:val="007F7BEF"/>
    <w:rsid w:val="00801071"/>
    <w:rsid w:val="008022C6"/>
    <w:rsid w:val="00804256"/>
    <w:rsid w:val="00804497"/>
    <w:rsid w:val="00805DEF"/>
    <w:rsid w:val="00810822"/>
    <w:rsid w:val="00810CE6"/>
    <w:rsid w:val="008117C8"/>
    <w:rsid w:val="00813DA4"/>
    <w:rsid w:val="008145C1"/>
    <w:rsid w:val="00817A6C"/>
    <w:rsid w:val="00822157"/>
    <w:rsid w:val="00823299"/>
    <w:rsid w:val="0082331D"/>
    <w:rsid w:val="008239AA"/>
    <w:rsid w:val="00824D86"/>
    <w:rsid w:val="008257DE"/>
    <w:rsid w:val="00826228"/>
    <w:rsid w:val="0082649C"/>
    <w:rsid w:val="0082680F"/>
    <w:rsid w:val="00827548"/>
    <w:rsid w:val="0083027F"/>
    <w:rsid w:val="00831466"/>
    <w:rsid w:val="00833524"/>
    <w:rsid w:val="008347DB"/>
    <w:rsid w:val="00836201"/>
    <w:rsid w:val="008378D3"/>
    <w:rsid w:val="00840B97"/>
    <w:rsid w:val="00840D93"/>
    <w:rsid w:val="00843603"/>
    <w:rsid w:val="00843DE7"/>
    <w:rsid w:val="008445F5"/>
    <w:rsid w:val="0084462F"/>
    <w:rsid w:val="00844FA2"/>
    <w:rsid w:val="0084542A"/>
    <w:rsid w:val="008456F0"/>
    <w:rsid w:val="00845A20"/>
    <w:rsid w:val="008466F5"/>
    <w:rsid w:val="00851B18"/>
    <w:rsid w:val="00851F74"/>
    <w:rsid w:val="00852977"/>
    <w:rsid w:val="00853C34"/>
    <w:rsid w:val="0085410B"/>
    <w:rsid w:val="008545C8"/>
    <w:rsid w:val="008549C1"/>
    <w:rsid w:val="0085511F"/>
    <w:rsid w:val="00856272"/>
    <w:rsid w:val="00856DB8"/>
    <w:rsid w:val="00857844"/>
    <w:rsid w:val="00857E98"/>
    <w:rsid w:val="00862410"/>
    <w:rsid w:val="008634B1"/>
    <w:rsid w:val="00863697"/>
    <w:rsid w:val="008642E8"/>
    <w:rsid w:val="008643DF"/>
    <w:rsid w:val="008645D5"/>
    <w:rsid w:val="00866291"/>
    <w:rsid w:val="00867145"/>
    <w:rsid w:val="0087095D"/>
    <w:rsid w:val="008769DE"/>
    <w:rsid w:val="008776D6"/>
    <w:rsid w:val="00882F10"/>
    <w:rsid w:val="00883047"/>
    <w:rsid w:val="00884DFD"/>
    <w:rsid w:val="00885044"/>
    <w:rsid w:val="00885AAF"/>
    <w:rsid w:val="00887C29"/>
    <w:rsid w:val="00890CD9"/>
    <w:rsid w:val="00891DDE"/>
    <w:rsid w:val="008924A8"/>
    <w:rsid w:val="0089268B"/>
    <w:rsid w:val="00893743"/>
    <w:rsid w:val="0089422C"/>
    <w:rsid w:val="008969AE"/>
    <w:rsid w:val="008A1ED9"/>
    <w:rsid w:val="008A1F76"/>
    <w:rsid w:val="008A3984"/>
    <w:rsid w:val="008A3DB4"/>
    <w:rsid w:val="008A4087"/>
    <w:rsid w:val="008A48EB"/>
    <w:rsid w:val="008A57A6"/>
    <w:rsid w:val="008A63E6"/>
    <w:rsid w:val="008A7CB2"/>
    <w:rsid w:val="008B0A1F"/>
    <w:rsid w:val="008B37C8"/>
    <w:rsid w:val="008B3BBE"/>
    <w:rsid w:val="008B4F3F"/>
    <w:rsid w:val="008C11E8"/>
    <w:rsid w:val="008C1D0D"/>
    <w:rsid w:val="008C4161"/>
    <w:rsid w:val="008C41E0"/>
    <w:rsid w:val="008C47D8"/>
    <w:rsid w:val="008C5FF1"/>
    <w:rsid w:val="008C6437"/>
    <w:rsid w:val="008C6915"/>
    <w:rsid w:val="008D0AD5"/>
    <w:rsid w:val="008D2DDF"/>
    <w:rsid w:val="008D2F14"/>
    <w:rsid w:val="008D4891"/>
    <w:rsid w:val="008D4E1F"/>
    <w:rsid w:val="008D5B83"/>
    <w:rsid w:val="008E0CD2"/>
    <w:rsid w:val="008E2421"/>
    <w:rsid w:val="008E307C"/>
    <w:rsid w:val="008E4010"/>
    <w:rsid w:val="008E4308"/>
    <w:rsid w:val="008E44D7"/>
    <w:rsid w:val="008E4BF8"/>
    <w:rsid w:val="008E50B1"/>
    <w:rsid w:val="008E5AAC"/>
    <w:rsid w:val="008E5B1F"/>
    <w:rsid w:val="008E5CC8"/>
    <w:rsid w:val="008E7234"/>
    <w:rsid w:val="008E72DE"/>
    <w:rsid w:val="008E76D6"/>
    <w:rsid w:val="008E7A26"/>
    <w:rsid w:val="008E7C23"/>
    <w:rsid w:val="009007DE"/>
    <w:rsid w:val="00900BF8"/>
    <w:rsid w:val="0090133A"/>
    <w:rsid w:val="00901CF0"/>
    <w:rsid w:val="009040CC"/>
    <w:rsid w:val="00904559"/>
    <w:rsid w:val="009105B8"/>
    <w:rsid w:val="00912597"/>
    <w:rsid w:val="00912B95"/>
    <w:rsid w:val="0091310A"/>
    <w:rsid w:val="00913E7D"/>
    <w:rsid w:val="009148BC"/>
    <w:rsid w:val="00915B63"/>
    <w:rsid w:val="00920FBA"/>
    <w:rsid w:val="00921CDD"/>
    <w:rsid w:val="0092384E"/>
    <w:rsid w:val="00923881"/>
    <w:rsid w:val="00923920"/>
    <w:rsid w:val="0092771C"/>
    <w:rsid w:val="00930735"/>
    <w:rsid w:val="00930C1E"/>
    <w:rsid w:val="0093122A"/>
    <w:rsid w:val="009312BE"/>
    <w:rsid w:val="00931593"/>
    <w:rsid w:val="00932275"/>
    <w:rsid w:val="009323B9"/>
    <w:rsid w:val="00932B1D"/>
    <w:rsid w:val="00934CDB"/>
    <w:rsid w:val="009363B4"/>
    <w:rsid w:val="00936B6C"/>
    <w:rsid w:val="00936E85"/>
    <w:rsid w:val="00937325"/>
    <w:rsid w:val="0094119F"/>
    <w:rsid w:val="00943D0B"/>
    <w:rsid w:val="00943FB6"/>
    <w:rsid w:val="00944337"/>
    <w:rsid w:val="00944B51"/>
    <w:rsid w:val="0094724F"/>
    <w:rsid w:val="00950A77"/>
    <w:rsid w:val="009545C5"/>
    <w:rsid w:val="00954BB7"/>
    <w:rsid w:val="00955258"/>
    <w:rsid w:val="0095590F"/>
    <w:rsid w:val="00955A44"/>
    <w:rsid w:val="009609A5"/>
    <w:rsid w:val="009624BE"/>
    <w:rsid w:val="00962618"/>
    <w:rsid w:val="0096331C"/>
    <w:rsid w:val="009633F1"/>
    <w:rsid w:val="0096478F"/>
    <w:rsid w:val="00965BC7"/>
    <w:rsid w:val="00966481"/>
    <w:rsid w:val="00966817"/>
    <w:rsid w:val="0096771A"/>
    <w:rsid w:val="00967A03"/>
    <w:rsid w:val="00971CC0"/>
    <w:rsid w:val="00974C33"/>
    <w:rsid w:val="00976052"/>
    <w:rsid w:val="009763A0"/>
    <w:rsid w:val="00977D19"/>
    <w:rsid w:val="00980C1E"/>
    <w:rsid w:val="0098148E"/>
    <w:rsid w:val="00981D8E"/>
    <w:rsid w:val="0098207B"/>
    <w:rsid w:val="00982322"/>
    <w:rsid w:val="00983FF5"/>
    <w:rsid w:val="009846B3"/>
    <w:rsid w:val="00991880"/>
    <w:rsid w:val="00991B65"/>
    <w:rsid w:val="0099379D"/>
    <w:rsid w:val="00993B95"/>
    <w:rsid w:val="00994D1D"/>
    <w:rsid w:val="00995370"/>
    <w:rsid w:val="00996A40"/>
    <w:rsid w:val="009A28F6"/>
    <w:rsid w:val="009A2FAD"/>
    <w:rsid w:val="009A35F9"/>
    <w:rsid w:val="009B1C2F"/>
    <w:rsid w:val="009B2299"/>
    <w:rsid w:val="009B26DE"/>
    <w:rsid w:val="009B3450"/>
    <w:rsid w:val="009B491F"/>
    <w:rsid w:val="009B5717"/>
    <w:rsid w:val="009C30F3"/>
    <w:rsid w:val="009C63B1"/>
    <w:rsid w:val="009D1B73"/>
    <w:rsid w:val="009D2AC2"/>
    <w:rsid w:val="009D3C2D"/>
    <w:rsid w:val="009D4C12"/>
    <w:rsid w:val="009D52CF"/>
    <w:rsid w:val="009D79A8"/>
    <w:rsid w:val="009E248E"/>
    <w:rsid w:val="009E27ED"/>
    <w:rsid w:val="009E31B6"/>
    <w:rsid w:val="009E40E9"/>
    <w:rsid w:val="009E5616"/>
    <w:rsid w:val="009E5CCC"/>
    <w:rsid w:val="009E66F6"/>
    <w:rsid w:val="009F1478"/>
    <w:rsid w:val="009F3C7D"/>
    <w:rsid w:val="009F4066"/>
    <w:rsid w:val="009F5A9B"/>
    <w:rsid w:val="009F6638"/>
    <w:rsid w:val="00A0172A"/>
    <w:rsid w:val="00A043B9"/>
    <w:rsid w:val="00A04438"/>
    <w:rsid w:val="00A05EB2"/>
    <w:rsid w:val="00A05EC4"/>
    <w:rsid w:val="00A10E32"/>
    <w:rsid w:val="00A11FE1"/>
    <w:rsid w:val="00A1230E"/>
    <w:rsid w:val="00A13EAE"/>
    <w:rsid w:val="00A141B5"/>
    <w:rsid w:val="00A1448C"/>
    <w:rsid w:val="00A168CB"/>
    <w:rsid w:val="00A17685"/>
    <w:rsid w:val="00A21AEE"/>
    <w:rsid w:val="00A23EE4"/>
    <w:rsid w:val="00A24177"/>
    <w:rsid w:val="00A25596"/>
    <w:rsid w:val="00A2574E"/>
    <w:rsid w:val="00A3018A"/>
    <w:rsid w:val="00A30362"/>
    <w:rsid w:val="00A30FBD"/>
    <w:rsid w:val="00A32062"/>
    <w:rsid w:val="00A34714"/>
    <w:rsid w:val="00A35472"/>
    <w:rsid w:val="00A365C8"/>
    <w:rsid w:val="00A376A3"/>
    <w:rsid w:val="00A41DB0"/>
    <w:rsid w:val="00A466A5"/>
    <w:rsid w:val="00A47EC6"/>
    <w:rsid w:val="00A50B62"/>
    <w:rsid w:val="00A51048"/>
    <w:rsid w:val="00A511BE"/>
    <w:rsid w:val="00A517DB"/>
    <w:rsid w:val="00A52C5B"/>
    <w:rsid w:val="00A53625"/>
    <w:rsid w:val="00A55A4B"/>
    <w:rsid w:val="00A55A60"/>
    <w:rsid w:val="00A561AC"/>
    <w:rsid w:val="00A5643F"/>
    <w:rsid w:val="00A56B39"/>
    <w:rsid w:val="00A600DE"/>
    <w:rsid w:val="00A636AF"/>
    <w:rsid w:val="00A63FF2"/>
    <w:rsid w:val="00A66D1A"/>
    <w:rsid w:val="00A66E30"/>
    <w:rsid w:val="00A67567"/>
    <w:rsid w:val="00A67692"/>
    <w:rsid w:val="00A70C9A"/>
    <w:rsid w:val="00A71676"/>
    <w:rsid w:val="00A7384A"/>
    <w:rsid w:val="00A748EF"/>
    <w:rsid w:val="00A74C2D"/>
    <w:rsid w:val="00A752E7"/>
    <w:rsid w:val="00A760D5"/>
    <w:rsid w:val="00A762E7"/>
    <w:rsid w:val="00A809A1"/>
    <w:rsid w:val="00A83FF5"/>
    <w:rsid w:val="00A85AEB"/>
    <w:rsid w:val="00A8765F"/>
    <w:rsid w:val="00A90AEB"/>
    <w:rsid w:val="00A94C0C"/>
    <w:rsid w:val="00A964F0"/>
    <w:rsid w:val="00A97AF2"/>
    <w:rsid w:val="00A97B65"/>
    <w:rsid w:val="00AA224C"/>
    <w:rsid w:val="00AA23C1"/>
    <w:rsid w:val="00AA244C"/>
    <w:rsid w:val="00AA27DA"/>
    <w:rsid w:val="00AA33A4"/>
    <w:rsid w:val="00AA37A2"/>
    <w:rsid w:val="00AA3958"/>
    <w:rsid w:val="00AA3B17"/>
    <w:rsid w:val="00AA6087"/>
    <w:rsid w:val="00AA7411"/>
    <w:rsid w:val="00AA7A0F"/>
    <w:rsid w:val="00AB002A"/>
    <w:rsid w:val="00AB0FD6"/>
    <w:rsid w:val="00AB16D0"/>
    <w:rsid w:val="00AB38DB"/>
    <w:rsid w:val="00AB43FD"/>
    <w:rsid w:val="00AB55AC"/>
    <w:rsid w:val="00AB5941"/>
    <w:rsid w:val="00AC1CD7"/>
    <w:rsid w:val="00AC2108"/>
    <w:rsid w:val="00AC2BC3"/>
    <w:rsid w:val="00AC3242"/>
    <w:rsid w:val="00AC38C3"/>
    <w:rsid w:val="00AC3A84"/>
    <w:rsid w:val="00AD1340"/>
    <w:rsid w:val="00AD39D1"/>
    <w:rsid w:val="00AD4BDD"/>
    <w:rsid w:val="00AD4EA2"/>
    <w:rsid w:val="00AD7A1D"/>
    <w:rsid w:val="00AE106F"/>
    <w:rsid w:val="00AE4C76"/>
    <w:rsid w:val="00AE5104"/>
    <w:rsid w:val="00AF02B5"/>
    <w:rsid w:val="00AF0997"/>
    <w:rsid w:val="00AF1207"/>
    <w:rsid w:val="00AF18A4"/>
    <w:rsid w:val="00AF4A5A"/>
    <w:rsid w:val="00AF63CB"/>
    <w:rsid w:val="00AF7B33"/>
    <w:rsid w:val="00B00C5D"/>
    <w:rsid w:val="00B01A48"/>
    <w:rsid w:val="00B0325D"/>
    <w:rsid w:val="00B042E6"/>
    <w:rsid w:val="00B0522A"/>
    <w:rsid w:val="00B053FB"/>
    <w:rsid w:val="00B06A9F"/>
    <w:rsid w:val="00B11BBF"/>
    <w:rsid w:val="00B12F30"/>
    <w:rsid w:val="00B12F70"/>
    <w:rsid w:val="00B13004"/>
    <w:rsid w:val="00B14FC0"/>
    <w:rsid w:val="00B15CC1"/>
    <w:rsid w:val="00B15FE9"/>
    <w:rsid w:val="00B16739"/>
    <w:rsid w:val="00B169D6"/>
    <w:rsid w:val="00B17501"/>
    <w:rsid w:val="00B17F54"/>
    <w:rsid w:val="00B23229"/>
    <w:rsid w:val="00B24357"/>
    <w:rsid w:val="00B27062"/>
    <w:rsid w:val="00B27569"/>
    <w:rsid w:val="00B27F5C"/>
    <w:rsid w:val="00B30520"/>
    <w:rsid w:val="00B315DF"/>
    <w:rsid w:val="00B33411"/>
    <w:rsid w:val="00B34E63"/>
    <w:rsid w:val="00B3660E"/>
    <w:rsid w:val="00B377B6"/>
    <w:rsid w:val="00B400FB"/>
    <w:rsid w:val="00B40763"/>
    <w:rsid w:val="00B40E0C"/>
    <w:rsid w:val="00B4111D"/>
    <w:rsid w:val="00B418C7"/>
    <w:rsid w:val="00B41F96"/>
    <w:rsid w:val="00B43E5C"/>
    <w:rsid w:val="00B47775"/>
    <w:rsid w:val="00B5005F"/>
    <w:rsid w:val="00B50C2B"/>
    <w:rsid w:val="00B5203E"/>
    <w:rsid w:val="00B53109"/>
    <w:rsid w:val="00B54F3B"/>
    <w:rsid w:val="00B56DFB"/>
    <w:rsid w:val="00B6096F"/>
    <w:rsid w:val="00B62094"/>
    <w:rsid w:val="00B64726"/>
    <w:rsid w:val="00B649E9"/>
    <w:rsid w:val="00B6538B"/>
    <w:rsid w:val="00B66FAD"/>
    <w:rsid w:val="00B67D64"/>
    <w:rsid w:val="00B71EEB"/>
    <w:rsid w:val="00B72DA0"/>
    <w:rsid w:val="00B72F9E"/>
    <w:rsid w:val="00B73712"/>
    <w:rsid w:val="00B74567"/>
    <w:rsid w:val="00B751A6"/>
    <w:rsid w:val="00B753A3"/>
    <w:rsid w:val="00B80068"/>
    <w:rsid w:val="00B82ABB"/>
    <w:rsid w:val="00B82E56"/>
    <w:rsid w:val="00B83DF6"/>
    <w:rsid w:val="00B84DAC"/>
    <w:rsid w:val="00B84FCB"/>
    <w:rsid w:val="00B85AA9"/>
    <w:rsid w:val="00B86494"/>
    <w:rsid w:val="00B90500"/>
    <w:rsid w:val="00B905C9"/>
    <w:rsid w:val="00B90632"/>
    <w:rsid w:val="00B9068D"/>
    <w:rsid w:val="00B92A58"/>
    <w:rsid w:val="00B92B6E"/>
    <w:rsid w:val="00B92D93"/>
    <w:rsid w:val="00B943F8"/>
    <w:rsid w:val="00B97B34"/>
    <w:rsid w:val="00B97BFA"/>
    <w:rsid w:val="00BA003D"/>
    <w:rsid w:val="00BA069B"/>
    <w:rsid w:val="00BA15B1"/>
    <w:rsid w:val="00BA1D04"/>
    <w:rsid w:val="00BA29FD"/>
    <w:rsid w:val="00BA3D8B"/>
    <w:rsid w:val="00BA3F9B"/>
    <w:rsid w:val="00BA4BB5"/>
    <w:rsid w:val="00BA5606"/>
    <w:rsid w:val="00BA643C"/>
    <w:rsid w:val="00BA740A"/>
    <w:rsid w:val="00BA7C64"/>
    <w:rsid w:val="00BA7CF1"/>
    <w:rsid w:val="00BB02A9"/>
    <w:rsid w:val="00BB228F"/>
    <w:rsid w:val="00BB2802"/>
    <w:rsid w:val="00BB4A5C"/>
    <w:rsid w:val="00BB72FA"/>
    <w:rsid w:val="00BB73CA"/>
    <w:rsid w:val="00BC00AB"/>
    <w:rsid w:val="00BC0D37"/>
    <w:rsid w:val="00BC1DA9"/>
    <w:rsid w:val="00BC28B3"/>
    <w:rsid w:val="00BC696B"/>
    <w:rsid w:val="00BD0E65"/>
    <w:rsid w:val="00BD1B68"/>
    <w:rsid w:val="00BD32CF"/>
    <w:rsid w:val="00BD5770"/>
    <w:rsid w:val="00BD581F"/>
    <w:rsid w:val="00BD682C"/>
    <w:rsid w:val="00BD7D98"/>
    <w:rsid w:val="00BE0771"/>
    <w:rsid w:val="00BE0F8B"/>
    <w:rsid w:val="00BE13EB"/>
    <w:rsid w:val="00BE1C0F"/>
    <w:rsid w:val="00BE6035"/>
    <w:rsid w:val="00BE7056"/>
    <w:rsid w:val="00BF16BC"/>
    <w:rsid w:val="00BF355B"/>
    <w:rsid w:val="00BF4B83"/>
    <w:rsid w:val="00BF5DA2"/>
    <w:rsid w:val="00BF6CEE"/>
    <w:rsid w:val="00C0193B"/>
    <w:rsid w:val="00C024EF"/>
    <w:rsid w:val="00C035F1"/>
    <w:rsid w:val="00C03CE2"/>
    <w:rsid w:val="00C040BE"/>
    <w:rsid w:val="00C041B0"/>
    <w:rsid w:val="00C07930"/>
    <w:rsid w:val="00C07A1E"/>
    <w:rsid w:val="00C10CF0"/>
    <w:rsid w:val="00C110B5"/>
    <w:rsid w:val="00C12A3C"/>
    <w:rsid w:val="00C13C46"/>
    <w:rsid w:val="00C14025"/>
    <w:rsid w:val="00C1434A"/>
    <w:rsid w:val="00C148F0"/>
    <w:rsid w:val="00C15DD3"/>
    <w:rsid w:val="00C2082C"/>
    <w:rsid w:val="00C20888"/>
    <w:rsid w:val="00C20969"/>
    <w:rsid w:val="00C20B17"/>
    <w:rsid w:val="00C22149"/>
    <w:rsid w:val="00C22318"/>
    <w:rsid w:val="00C239C6"/>
    <w:rsid w:val="00C23CBE"/>
    <w:rsid w:val="00C255CF"/>
    <w:rsid w:val="00C25752"/>
    <w:rsid w:val="00C25C44"/>
    <w:rsid w:val="00C26673"/>
    <w:rsid w:val="00C27BA0"/>
    <w:rsid w:val="00C30731"/>
    <w:rsid w:val="00C31C0F"/>
    <w:rsid w:val="00C31FD5"/>
    <w:rsid w:val="00C35059"/>
    <w:rsid w:val="00C37037"/>
    <w:rsid w:val="00C40BCF"/>
    <w:rsid w:val="00C42767"/>
    <w:rsid w:val="00C4381F"/>
    <w:rsid w:val="00C44BAA"/>
    <w:rsid w:val="00C45040"/>
    <w:rsid w:val="00C45077"/>
    <w:rsid w:val="00C46D04"/>
    <w:rsid w:val="00C47016"/>
    <w:rsid w:val="00C47413"/>
    <w:rsid w:val="00C51740"/>
    <w:rsid w:val="00C533F6"/>
    <w:rsid w:val="00C53D2E"/>
    <w:rsid w:val="00C55ABD"/>
    <w:rsid w:val="00C55F85"/>
    <w:rsid w:val="00C57154"/>
    <w:rsid w:val="00C571CC"/>
    <w:rsid w:val="00C60073"/>
    <w:rsid w:val="00C62C3D"/>
    <w:rsid w:val="00C6415D"/>
    <w:rsid w:val="00C672CB"/>
    <w:rsid w:val="00C710B2"/>
    <w:rsid w:val="00C737B1"/>
    <w:rsid w:val="00C7659C"/>
    <w:rsid w:val="00C80B03"/>
    <w:rsid w:val="00C80E50"/>
    <w:rsid w:val="00C8623E"/>
    <w:rsid w:val="00C900AA"/>
    <w:rsid w:val="00C909CC"/>
    <w:rsid w:val="00C916EB"/>
    <w:rsid w:val="00C9203B"/>
    <w:rsid w:val="00C922AF"/>
    <w:rsid w:val="00C9238A"/>
    <w:rsid w:val="00C94187"/>
    <w:rsid w:val="00C94FA4"/>
    <w:rsid w:val="00C9680F"/>
    <w:rsid w:val="00CA208D"/>
    <w:rsid w:val="00CA2F30"/>
    <w:rsid w:val="00CA5526"/>
    <w:rsid w:val="00CA565E"/>
    <w:rsid w:val="00CA58AD"/>
    <w:rsid w:val="00CA5CAC"/>
    <w:rsid w:val="00CA68A5"/>
    <w:rsid w:val="00CA765B"/>
    <w:rsid w:val="00CB021B"/>
    <w:rsid w:val="00CB3A2D"/>
    <w:rsid w:val="00CB4F10"/>
    <w:rsid w:val="00CB5A96"/>
    <w:rsid w:val="00CB719A"/>
    <w:rsid w:val="00CB7666"/>
    <w:rsid w:val="00CC236D"/>
    <w:rsid w:val="00CC4B95"/>
    <w:rsid w:val="00CC771F"/>
    <w:rsid w:val="00CD00AE"/>
    <w:rsid w:val="00CD0AA7"/>
    <w:rsid w:val="00CD0B62"/>
    <w:rsid w:val="00CD2BCC"/>
    <w:rsid w:val="00CD40D5"/>
    <w:rsid w:val="00CD72AC"/>
    <w:rsid w:val="00CE0176"/>
    <w:rsid w:val="00CE0265"/>
    <w:rsid w:val="00CE0B2F"/>
    <w:rsid w:val="00CE0B6D"/>
    <w:rsid w:val="00CE183D"/>
    <w:rsid w:val="00CE4898"/>
    <w:rsid w:val="00CE58AC"/>
    <w:rsid w:val="00CE6095"/>
    <w:rsid w:val="00CE7122"/>
    <w:rsid w:val="00CE78A7"/>
    <w:rsid w:val="00CE7B83"/>
    <w:rsid w:val="00CE7DB2"/>
    <w:rsid w:val="00CF0D36"/>
    <w:rsid w:val="00CF2557"/>
    <w:rsid w:val="00CF2CAF"/>
    <w:rsid w:val="00CF3DB3"/>
    <w:rsid w:val="00CF53F5"/>
    <w:rsid w:val="00CF60D1"/>
    <w:rsid w:val="00CF6261"/>
    <w:rsid w:val="00CF6FEF"/>
    <w:rsid w:val="00D00803"/>
    <w:rsid w:val="00D01F39"/>
    <w:rsid w:val="00D02306"/>
    <w:rsid w:val="00D0405F"/>
    <w:rsid w:val="00D042EC"/>
    <w:rsid w:val="00D0727C"/>
    <w:rsid w:val="00D0751D"/>
    <w:rsid w:val="00D109D5"/>
    <w:rsid w:val="00D171BC"/>
    <w:rsid w:val="00D215B0"/>
    <w:rsid w:val="00D24BE6"/>
    <w:rsid w:val="00D260E1"/>
    <w:rsid w:val="00D308D3"/>
    <w:rsid w:val="00D32449"/>
    <w:rsid w:val="00D3293C"/>
    <w:rsid w:val="00D32D18"/>
    <w:rsid w:val="00D332BE"/>
    <w:rsid w:val="00D3425E"/>
    <w:rsid w:val="00D343E0"/>
    <w:rsid w:val="00D3497D"/>
    <w:rsid w:val="00D43916"/>
    <w:rsid w:val="00D43B44"/>
    <w:rsid w:val="00D43F8F"/>
    <w:rsid w:val="00D45682"/>
    <w:rsid w:val="00D46D0E"/>
    <w:rsid w:val="00D4746F"/>
    <w:rsid w:val="00D47997"/>
    <w:rsid w:val="00D5016B"/>
    <w:rsid w:val="00D50629"/>
    <w:rsid w:val="00D5072F"/>
    <w:rsid w:val="00D53049"/>
    <w:rsid w:val="00D56574"/>
    <w:rsid w:val="00D5717F"/>
    <w:rsid w:val="00D572D7"/>
    <w:rsid w:val="00D57804"/>
    <w:rsid w:val="00D603A5"/>
    <w:rsid w:val="00D61D02"/>
    <w:rsid w:val="00D62B56"/>
    <w:rsid w:val="00D66A13"/>
    <w:rsid w:val="00D6795A"/>
    <w:rsid w:val="00D71DF1"/>
    <w:rsid w:val="00D71E5E"/>
    <w:rsid w:val="00D72F3A"/>
    <w:rsid w:val="00D75042"/>
    <w:rsid w:val="00D75A4D"/>
    <w:rsid w:val="00D76AA1"/>
    <w:rsid w:val="00D804D5"/>
    <w:rsid w:val="00D807A6"/>
    <w:rsid w:val="00D826E2"/>
    <w:rsid w:val="00D86A1F"/>
    <w:rsid w:val="00D878F9"/>
    <w:rsid w:val="00D91AD4"/>
    <w:rsid w:val="00D93F88"/>
    <w:rsid w:val="00D94B32"/>
    <w:rsid w:val="00D94BA8"/>
    <w:rsid w:val="00D95D03"/>
    <w:rsid w:val="00D96BF1"/>
    <w:rsid w:val="00D96DED"/>
    <w:rsid w:val="00D974AF"/>
    <w:rsid w:val="00D9791B"/>
    <w:rsid w:val="00DA03F4"/>
    <w:rsid w:val="00DA0596"/>
    <w:rsid w:val="00DA0D80"/>
    <w:rsid w:val="00DA24F9"/>
    <w:rsid w:val="00DA4976"/>
    <w:rsid w:val="00DA4F24"/>
    <w:rsid w:val="00DA51AB"/>
    <w:rsid w:val="00DA6EB2"/>
    <w:rsid w:val="00DB0916"/>
    <w:rsid w:val="00DB0C50"/>
    <w:rsid w:val="00DB0F5A"/>
    <w:rsid w:val="00DB38C7"/>
    <w:rsid w:val="00DB3BB9"/>
    <w:rsid w:val="00DB49D8"/>
    <w:rsid w:val="00DB4ABD"/>
    <w:rsid w:val="00DC0065"/>
    <w:rsid w:val="00DC0455"/>
    <w:rsid w:val="00DC20E5"/>
    <w:rsid w:val="00DC26C6"/>
    <w:rsid w:val="00DC3439"/>
    <w:rsid w:val="00DC3C48"/>
    <w:rsid w:val="00DC64B6"/>
    <w:rsid w:val="00DC73CF"/>
    <w:rsid w:val="00DC753F"/>
    <w:rsid w:val="00DD07DF"/>
    <w:rsid w:val="00DD1E5B"/>
    <w:rsid w:val="00DD235E"/>
    <w:rsid w:val="00DD336A"/>
    <w:rsid w:val="00DD4427"/>
    <w:rsid w:val="00DD445E"/>
    <w:rsid w:val="00DD540A"/>
    <w:rsid w:val="00DD6213"/>
    <w:rsid w:val="00DD6C94"/>
    <w:rsid w:val="00DD7A6E"/>
    <w:rsid w:val="00DE14F4"/>
    <w:rsid w:val="00DE3E7A"/>
    <w:rsid w:val="00DE420A"/>
    <w:rsid w:val="00DE4699"/>
    <w:rsid w:val="00DE6677"/>
    <w:rsid w:val="00DE6E4D"/>
    <w:rsid w:val="00DE73DD"/>
    <w:rsid w:val="00DF12AF"/>
    <w:rsid w:val="00DF2DC9"/>
    <w:rsid w:val="00DF2DFF"/>
    <w:rsid w:val="00DF2EAF"/>
    <w:rsid w:val="00DF31F6"/>
    <w:rsid w:val="00DF35EB"/>
    <w:rsid w:val="00DF3C3A"/>
    <w:rsid w:val="00DF43F7"/>
    <w:rsid w:val="00DF4ED7"/>
    <w:rsid w:val="00DF66E6"/>
    <w:rsid w:val="00E00D91"/>
    <w:rsid w:val="00E019A9"/>
    <w:rsid w:val="00E019FE"/>
    <w:rsid w:val="00E02364"/>
    <w:rsid w:val="00E02651"/>
    <w:rsid w:val="00E02D99"/>
    <w:rsid w:val="00E034B5"/>
    <w:rsid w:val="00E03780"/>
    <w:rsid w:val="00E037DE"/>
    <w:rsid w:val="00E058D5"/>
    <w:rsid w:val="00E0702D"/>
    <w:rsid w:val="00E073B5"/>
    <w:rsid w:val="00E100C0"/>
    <w:rsid w:val="00E1156C"/>
    <w:rsid w:val="00E118DE"/>
    <w:rsid w:val="00E1240F"/>
    <w:rsid w:val="00E12607"/>
    <w:rsid w:val="00E132C6"/>
    <w:rsid w:val="00E14E5C"/>
    <w:rsid w:val="00E15D3E"/>
    <w:rsid w:val="00E16EAB"/>
    <w:rsid w:val="00E17F90"/>
    <w:rsid w:val="00E22C21"/>
    <w:rsid w:val="00E23704"/>
    <w:rsid w:val="00E23EC6"/>
    <w:rsid w:val="00E245C8"/>
    <w:rsid w:val="00E25922"/>
    <w:rsid w:val="00E269DC"/>
    <w:rsid w:val="00E26ACC"/>
    <w:rsid w:val="00E27397"/>
    <w:rsid w:val="00E27679"/>
    <w:rsid w:val="00E27E88"/>
    <w:rsid w:val="00E27F45"/>
    <w:rsid w:val="00E30F5F"/>
    <w:rsid w:val="00E3284D"/>
    <w:rsid w:val="00E32B03"/>
    <w:rsid w:val="00E349F2"/>
    <w:rsid w:val="00E34C5C"/>
    <w:rsid w:val="00E40FA9"/>
    <w:rsid w:val="00E427C3"/>
    <w:rsid w:val="00E4574F"/>
    <w:rsid w:val="00E4639F"/>
    <w:rsid w:val="00E467B2"/>
    <w:rsid w:val="00E47A07"/>
    <w:rsid w:val="00E50374"/>
    <w:rsid w:val="00E50D3E"/>
    <w:rsid w:val="00E54663"/>
    <w:rsid w:val="00E563CE"/>
    <w:rsid w:val="00E60470"/>
    <w:rsid w:val="00E61253"/>
    <w:rsid w:val="00E61947"/>
    <w:rsid w:val="00E65100"/>
    <w:rsid w:val="00E662BA"/>
    <w:rsid w:val="00E70300"/>
    <w:rsid w:val="00E70CDC"/>
    <w:rsid w:val="00E70D6F"/>
    <w:rsid w:val="00E70F53"/>
    <w:rsid w:val="00E71B8F"/>
    <w:rsid w:val="00E72825"/>
    <w:rsid w:val="00E72865"/>
    <w:rsid w:val="00E73854"/>
    <w:rsid w:val="00E75F85"/>
    <w:rsid w:val="00E768A4"/>
    <w:rsid w:val="00E76C42"/>
    <w:rsid w:val="00E806BD"/>
    <w:rsid w:val="00E81717"/>
    <w:rsid w:val="00E81A2D"/>
    <w:rsid w:val="00E82558"/>
    <w:rsid w:val="00E83404"/>
    <w:rsid w:val="00E839CF"/>
    <w:rsid w:val="00E83BB3"/>
    <w:rsid w:val="00E846A0"/>
    <w:rsid w:val="00E87004"/>
    <w:rsid w:val="00E87A72"/>
    <w:rsid w:val="00E87EBF"/>
    <w:rsid w:val="00E93275"/>
    <w:rsid w:val="00E93373"/>
    <w:rsid w:val="00E96CB9"/>
    <w:rsid w:val="00E979BD"/>
    <w:rsid w:val="00EA2A89"/>
    <w:rsid w:val="00EA55B4"/>
    <w:rsid w:val="00EA5AFB"/>
    <w:rsid w:val="00EA5B67"/>
    <w:rsid w:val="00EA5C26"/>
    <w:rsid w:val="00EA7718"/>
    <w:rsid w:val="00EB0289"/>
    <w:rsid w:val="00EB08A0"/>
    <w:rsid w:val="00EB1B8F"/>
    <w:rsid w:val="00EB1EC2"/>
    <w:rsid w:val="00EB3427"/>
    <w:rsid w:val="00EB6165"/>
    <w:rsid w:val="00EB692A"/>
    <w:rsid w:val="00EC0504"/>
    <w:rsid w:val="00EC17FD"/>
    <w:rsid w:val="00EC1804"/>
    <w:rsid w:val="00EC1AAB"/>
    <w:rsid w:val="00EC23F9"/>
    <w:rsid w:val="00ED056C"/>
    <w:rsid w:val="00ED1BCA"/>
    <w:rsid w:val="00EE087F"/>
    <w:rsid w:val="00EE295C"/>
    <w:rsid w:val="00EE2BEF"/>
    <w:rsid w:val="00EE39A4"/>
    <w:rsid w:val="00EE4590"/>
    <w:rsid w:val="00EE4D54"/>
    <w:rsid w:val="00EE6C53"/>
    <w:rsid w:val="00EE6C93"/>
    <w:rsid w:val="00EE6F2A"/>
    <w:rsid w:val="00EF0138"/>
    <w:rsid w:val="00EF0482"/>
    <w:rsid w:val="00EF077D"/>
    <w:rsid w:val="00EF16CD"/>
    <w:rsid w:val="00EF2DF8"/>
    <w:rsid w:val="00EF3041"/>
    <w:rsid w:val="00EF4755"/>
    <w:rsid w:val="00EF578E"/>
    <w:rsid w:val="00EF6C94"/>
    <w:rsid w:val="00EF70ED"/>
    <w:rsid w:val="00EF7DC2"/>
    <w:rsid w:val="00F00977"/>
    <w:rsid w:val="00F01404"/>
    <w:rsid w:val="00F01C03"/>
    <w:rsid w:val="00F038FF"/>
    <w:rsid w:val="00F0402D"/>
    <w:rsid w:val="00F04D60"/>
    <w:rsid w:val="00F067C3"/>
    <w:rsid w:val="00F0780B"/>
    <w:rsid w:val="00F109CB"/>
    <w:rsid w:val="00F10DAE"/>
    <w:rsid w:val="00F11D0C"/>
    <w:rsid w:val="00F14D5E"/>
    <w:rsid w:val="00F162A8"/>
    <w:rsid w:val="00F16717"/>
    <w:rsid w:val="00F17CEE"/>
    <w:rsid w:val="00F20F4F"/>
    <w:rsid w:val="00F211F9"/>
    <w:rsid w:val="00F2347A"/>
    <w:rsid w:val="00F2674A"/>
    <w:rsid w:val="00F32112"/>
    <w:rsid w:val="00F325BA"/>
    <w:rsid w:val="00F33880"/>
    <w:rsid w:val="00F340F9"/>
    <w:rsid w:val="00F369CD"/>
    <w:rsid w:val="00F4199E"/>
    <w:rsid w:val="00F41A82"/>
    <w:rsid w:val="00F428C6"/>
    <w:rsid w:val="00F42B18"/>
    <w:rsid w:val="00F444EA"/>
    <w:rsid w:val="00F4455F"/>
    <w:rsid w:val="00F44F45"/>
    <w:rsid w:val="00F45113"/>
    <w:rsid w:val="00F459F2"/>
    <w:rsid w:val="00F46969"/>
    <w:rsid w:val="00F46BFF"/>
    <w:rsid w:val="00F536B8"/>
    <w:rsid w:val="00F540BC"/>
    <w:rsid w:val="00F54228"/>
    <w:rsid w:val="00F562F4"/>
    <w:rsid w:val="00F625ED"/>
    <w:rsid w:val="00F71F6D"/>
    <w:rsid w:val="00F72825"/>
    <w:rsid w:val="00F7545D"/>
    <w:rsid w:val="00F7560F"/>
    <w:rsid w:val="00F77F17"/>
    <w:rsid w:val="00F80020"/>
    <w:rsid w:val="00F806ED"/>
    <w:rsid w:val="00F80CCE"/>
    <w:rsid w:val="00F87270"/>
    <w:rsid w:val="00F90366"/>
    <w:rsid w:val="00F90C94"/>
    <w:rsid w:val="00F912EF"/>
    <w:rsid w:val="00F91567"/>
    <w:rsid w:val="00F91781"/>
    <w:rsid w:val="00F91A2E"/>
    <w:rsid w:val="00F92C57"/>
    <w:rsid w:val="00F937F1"/>
    <w:rsid w:val="00F941C3"/>
    <w:rsid w:val="00F941FA"/>
    <w:rsid w:val="00F96369"/>
    <w:rsid w:val="00FA0ABA"/>
    <w:rsid w:val="00FA2AC0"/>
    <w:rsid w:val="00FA4325"/>
    <w:rsid w:val="00FA4326"/>
    <w:rsid w:val="00FA646B"/>
    <w:rsid w:val="00FA69E4"/>
    <w:rsid w:val="00FA7531"/>
    <w:rsid w:val="00FA782E"/>
    <w:rsid w:val="00FA7F06"/>
    <w:rsid w:val="00FB140C"/>
    <w:rsid w:val="00FB3DB5"/>
    <w:rsid w:val="00FB5806"/>
    <w:rsid w:val="00FB64F4"/>
    <w:rsid w:val="00FC2121"/>
    <w:rsid w:val="00FC3767"/>
    <w:rsid w:val="00FC4244"/>
    <w:rsid w:val="00FC575B"/>
    <w:rsid w:val="00FD0C3F"/>
    <w:rsid w:val="00FD261C"/>
    <w:rsid w:val="00FD3132"/>
    <w:rsid w:val="00FD3637"/>
    <w:rsid w:val="00FD3F74"/>
    <w:rsid w:val="00FD40E1"/>
    <w:rsid w:val="00FD43EA"/>
    <w:rsid w:val="00FD4532"/>
    <w:rsid w:val="00FE0839"/>
    <w:rsid w:val="00FE0E37"/>
    <w:rsid w:val="00FE682C"/>
    <w:rsid w:val="00FE738D"/>
    <w:rsid w:val="00FE7F70"/>
    <w:rsid w:val="00FF0F24"/>
    <w:rsid w:val="00FF141E"/>
    <w:rsid w:val="00FF1E57"/>
    <w:rsid w:val="00FF3CB6"/>
    <w:rsid w:val="00FF41CB"/>
    <w:rsid w:val="00FF63F8"/>
    <w:rsid w:val="00FF729F"/>
    <w:rsid w:val="00FF7580"/>
    <w:rsid w:val="074D4C51"/>
    <w:rsid w:val="11E31D95"/>
    <w:rsid w:val="15562A06"/>
    <w:rsid w:val="16A772B8"/>
    <w:rsid w:val="210A0B07"/>
    <w:rsid w:val="27EDB58A"/>
    <w:rsid w:val="2B1F7A8B"/>
    <w:rsid w:val="377780F5"/>
    <w:rsid w:val="3CAA1714"/>
    <w:rsid w:val="3DACB710"/>
    <w:rsid w:val="447F7A94"/>
    <w:rsid w:val="45431017"/>
    <w:rsid w:val="54BF08A8"/>
    <w:rsid w:val="55D4EA8F"/>
    <w:rsid w:val="57DF298A"/>
    <w:rsid w:val="5BFFF47D"/>
    <w:rsid w:val="5F773840"/>
    <w:rsid w:val="5FD73EBE"/>
    <w:rsid w:val="65FDEDAA"/>
    <w:rsid w:val="67F27B46"/>
    <w:rsid w:val="6D520F4D"/>
    <w:rsid w:val="6DAC78B3"/>
    <w:rsid w:val="6FFB509C"/>
    <w:rsid w:val="726FD090"/>
    <w:rsid w:val="73C1DDC0"/>
    <w:rsid w:val="76DD4DE8"/>
    <w:rsid w:val="7778BE18"/>
    <w:rsid w:val="7B4E7944"/>
    <w:rsid w:val="7CFFDC51"/>
    <w:rsid w:val="7D5DA859"/>
    <w:rsid w:val="7DF34F1E"/>
    <w:rsid w:val="7EDF46A2"/>
    <w:rsid w:val="7FEF2F7C"/>
    <w:rsid w:val="9DAEF90A"/>
    <w:rsid w:val="BDDED95A"/>
    <w:rsid w:val="BFEF0EF5"/>
    <w:rsid w:val="C5EFB495"/>
    <w:rsid w:val="D5FFF8B2"/>
    <w:rsid w:val="D75267C9"/>
    <w:rsid w:val="D9DF5074"/>
    <w:rsid w:val="DBB98AF7"/>
    <w:rsid w:val="E7DC9D24"/>
    <w:rsid w:val="ECFEF928"/>
    <w:rsid w:val="F6F64CF2"/>
    <w:rsid w:val="FDFF835D"/>
    <w:rsid w:val="FF5D3A59"/>
    <w:rsid w:val="FF6F0D53"/>
    <w:rsid w:val="FFBDFC08"/>
    <w:rsid w:val="FFDB6A96"/>
    <w:rsid w:val="FFF54DBD"/>
    <w:rsid w:val="FFFDA9D5"/>
    <w:rsid w:val="FFFDF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10" w:afterLines="10"/>
      <w:ind w:firstLine="200" w:firstLineChars="200"/>
      <w:jc w:val="both"/>
    </w:pPr>
    <w:rPr>
      <w:rFonts w:ascii="Calibri" w:hAnsi="Calibri" w:eastAsia="宋体" w:cs="Times New Roman"/>
      <w:kern w:val="2"/>
      <w:sz w:val="21"/>
      <w:szCs w:val="21"/>
      <w:lang w:val="en-US" w:eastAsia="zh-CN" w:bidi="ar-SA"/>
    </w:rPr>
  </w:style>
  <w:style w:type="paragraph" w:styleId="2">
    <w:name w:val="heading 1"/>
    <w:basedOn w:val="1"/>
    <w:next w:val="1"/>
    <w:link w:val="27"/>
    <w:qFormat/>
    <w:uiPriority w:val="0"/>
    <w:pPr>
      <w:keepNext/>
      <w:keepLines/>
      <w:widowControl/>
      <w:spacing w:beforeLines="0" w:afterLines="0" w:line="576" w:lineRule="auto"/>
      <w:ind w:firstLine="0" w:firstLineChars="0"/>
      <w:jc w:val="left"/>
      <w:outlineLvl w:val="0"/>
    </w:pPr>
    <w:rPr>
      <w:rFonts w:ascii="Times New Roman" w:hAnsi="Times New Roman"/>
      <w:b/>
      <w:bCs/>
      <w:kern w:val="44"/>
      <w:sz w:val="44"/>
      <w:szCs w:val="44"/>
    </w:rPr>
  </w:style>
  <w:style w:type="paragraph" w:styleId="3">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57"/>
    <w:unhideWhenUsed/>
    <w:qFormat/>
    <w:uiPriority w:val="99"/>
    <w:pPr>
      <w:jc w:val="left"/>
    </w:pPr>
  </w:style>
  <w:style w:type="paragraph" w:styleId="7">
    <w:name w:val="Body Text"/>
    <w:basedOn w:val="1"/>
    <w:next w:val="8"/>
    <w:link w:val="61"/>
    <w:qFormat/>
    <w:uiPriority w:val="0"/>
    <w:pPr>
      <w:spacing w:after="120"/>
    </w:pPr>
  </w:style>
  <w:style w:type="paragraph" w:styleId="8">
    <w:name w:val="Title"/>
    <w:basedOn w:val="1"/>
    <w:next w:val="1"/>
    <w:link w:val="63"/>
    <w:qFormat/>
    <w:uiPriority w:val="10"/>
    <w:pPr>
      <w:spacing w:before="240" w:after="60"/>
      <w:jc w:val="center"/>
      <w:outlineLvl w:val="0"/>
    </w:pPr>
    <w:rPr>
      <w:rFonts w:asciiTheme="majorHAnsi" w:hAnsiTheme="majorHAnsi" w:cstheme="majorBidi"/>
      <w:b/>
      <w:bCs/>
      <w:sz w:val="32"/>
      <w:szCs w:val="32"/>
    </w:rPr>
  </w:style>
  <w:style w:type="paragraph" w:styleId="9">
    <w:name w:val="toc 3"/>
    <w:basedOn w:val="1"/>
    <w:next w:val="1"/>
    <w:unhideWhenUsed/>
    <w:qFormat/>
    <w:uiPriority w:val="39"/>
    <w:pPr>
      <w:widowControl/>
      <w:spacing w:beforeLines="0" w:afterLines="0" w:line="276" w:lineRule="auto"/>
      <w:ind w:left="440" w:firstLine="0" w:firstLineChars="0"/>
      <w:jc w:val="left"/>
    </w:pPr>
    <w:rPr>
      <w:rFonts w:asciiTheme="minorHAnsi" w:hAnsiTheme="minorHAnsi" w:eastAsiaTheme="minorEastAsia" w:cstheme="minorBidi"/>
      <w:kern w:val="0"/>
      <w:sz w:val="22"/>
      <w:szCs w:val="22"/>
    </w:rPr>
  </w:style>
  <w:style w:type="paragraph" w:styleId="10">
    <w:name w:val="Date"/>
    <w:basedOn w:val="1"/>
    <w:next w:val="1"/>
    <w:link w:val="25"/>
    <w:unhideWhenUsed/>
    <w:qFormat/>
    <w:uiPriority w:val="99"/>
    <w:pPr>
      <w:ind w:left="100" w:leftChars="2500"/>
    </w:pPr>
  </w:style>
  <w:style w:type="paragraph" w:styleId="11">
    <w:name w:val="Balloon Text"/>
    <w:basedOn w:val="1"/>
    <w:link w:val="50"/>
    <w:unhideWhenUsed/>
    <w:qFormat/>
    <w:uiPriority w:val="99"/>
    <w:rPr>
      <w:sz w:val="18"/>
      <w:szCs w:val="18"/>
    </w:rPr>
  </w:style>
  <w:style w:type="paragraph" w:styleId="12">
    <w:name w:val="footer"/>
    <w:basedOn w:val="1"/>
    <w:link w:val="30"/>
    <w:qFormat/>
    <w:uiPriority w:val="99"/>
    <w:pPr>
      <w:widowControl/>
      <w:tabs>
        <w:tab w:val="center" w:pos="4153"/>
        <w:tab w:val="right" w:pos="8306"/>
      </w:tabs>
      <w:snapToGrid w:val="0"/>
      <w:spacing w:beforeLines="0" w:afterLines="0"/>
      <w:ind w:firstLine="0" w:firstLineChars="0"/>
      <w:jc w:val="left"/>
    </w:pPr>
    <w:rPr>
      <w:rFonts w:asciiTheme="minorHAnsi" w:hAnsiTheme="minorHAnsi" w:eastAsiaTheme="minorEastAsia" w:cstheme="minorBidi"/>
      <w:sz w:val="18"/>
      <w:szCs w:val="18"/>
    </w:rPr>
  </w:style>
  <w:style w:type="paragraph" w:styleId="13">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widowControl/>
      <w:spacing w:beforeLines="0" w:afterLines="0"/>
      <w:ind w:firstLine="0" w:firstLineChars="0"/>
      <w:jc w:val="left"/>
    </w:pPr>
    <w:rPr>
      <w:rFonts w:ascii="Times New Roman" w:hAnsi="Times New Roman"/>
      <w:kern w:val="0"/>
      <w:sz w:val="24"/>
      <w:szCs w:val="24"/>
    </w:rPr>
  </w:style>
  <w:style w:type="paragraph" w:styleId="15">
    <w:name w:val="toc 2"/>
    <w:basedOn w:val="1"/>
    <w:next w:val="1"/>
    <w:unhideWhenUsed/>
    <w:qFormat/>
    <w:uiPriority w:val="39"/>
    <w:pPr>
      <w:widowControl/>
      <w:spacing w:beforeLines="0" w:afterLines="0" w:line="276" w:lineRule="auto"/>
      <w:ind w:left="220" w:firstLine="0" w:firstLineChars="0"/>
      <w:jc w:val="left"/>
    </w:pPr>
    <w:rPr>
      <w:rFonts w:asciiTheme="minorHAnsi" w:hAnsiTheme="minorHAnsi" w:eastAsiaTheme="minorEastAsia" w:cstheme="minorBidi"/>
      <w:kern w:val="0"/>
      <w:sz w:val="22"/>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6"/>
    <w:link w:val="58"/>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basedOn w:val="20"/>
    <w:unhideWhenUsed/>
    <w:qFormat/>
    <w:uiPriority w:val="99"/>
    <w:rPr>
      <w:sz w:val="21"/>
      <w:szCs w:val="21"/>
    </w:rPr>
  </w:style>
  <w:style w:type="character" w:customStyle="1" w:styleId="25">
    <w:name w:val="日期 字符"/>
    <w:basedOn w:val="20"/>
    <w:link w:val="10"/>
    <w:semiHidden/>
    <w:qFormat/>
    <w:uiPriority w:val="99"/>
    <w:rPr>
      <w:rFonts w:ascii="Calibri" w:hAnsi="Calibri" w:eastAsia="宋体" w:cs="Times New Roman"/>
      <w:szCs w:val="21"/>
    </w:rPr>
  </w:style>
  <w:style w:type="character" w:customStyle="1" w:styleId="26">
    <w:name w:val="标题 1 Char"/>
    <w:basedOn w:val="20"/>
    <w:qFormat/>
    <w:uiPriority w:val="9"/>
    <w:rPr>
      <w:rFonts w:ascii="Calibri" w:hAnsi="Calibri" w:eastAsia="宋体" w:cs="Times New Roman"/>
      <w:b/>
      <w:bCs/>
      <w:kern w:val="44"/>
      <w:sz w:val="44"/>
      <w:szCs w:val="44"/>
    </w:rPr>
  </w:style>
  <w:style w:type="character" w:customStyle="1" w:styleId="27">
    <w:name w:val="标题 1 字符"/>
    <w:link w:val="2"/>
    <w:qFormat/>
    <w:uiPriority w:val="0"/>
    <w:rPr>
      <w:rFonts w:ascii="Times New Roman" w:hAnsi="Times New Roman" w:eastAsia="宋体" w:cs="Times New Roman"/>
      <w:b/>
      <w:bCs/>
      <w:kern w:val="44"/>
      <w:sz w:val="44"/>
      <w:szCs w:val="44"/>
    </w:rPr>
  </w:style>
  <w:style w:type="paragraph" w:customStyle="1" w:styleId="28">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paragraph" w:customStyle="1" w:styleId="29">
    <w:name w:val="列出段落1"/>
    <w:basedOn w:val="1"/>
    <w:qFormat/>
    <w:uiPriority w:val="99"/>
    <w:pPr>
      <w:ind w:firstLine="420"/>
    </w:pPr>
  </w:style>
  <w:style w:type="character" w:customStyle="1" w:styleId="30">
    <w:name w:val="页脚 字符"/>
    <w:link w:val="12"/>
    <w:qFormat/>
    <w:uiPriority w:val="0"/>
    <w:rPr>
      <w:sz w:val="18"/>
      <w:szCs w:val="18"/>
    </w:rPr>
  </w:style>
  <w:style w:type="paragraph" w:customStyle="1" w:styleId="31">
    <w:name w:val="列出段落4"/>
    <w:basedOn w:val="1"/>
    <w:qFormat/>
    <w:uiPriority w:val="0"/>
    <w:pPr>
      <w:widowControl/>
      <w:spacing w:beforeLines="0" w:afterLines="0"/>
      <w:ind w:firstLine="420"/>
      <w:jc w:val="left"/>
    </w:pPr>
    <w:rPr>
      <w:rFonts w:ascii="Times New Roman" w:hAnsi="Times New Roman"/>
      <w:kern w:val="0"/>
      <w:sz w:val="24"/>
      <w:szCs w:val="24"/>
    </w:rPr>
  </w:style>
  <w:style w:type="character" w:customStyle="1" w:styleId="32">
    <w:name w:val="页脚 Char"/>
    <w:basedOn w:val="20"/>
    <w:qFormat/>
    <w:uiPriority w:val="99"/>
    <w:rPr>
      <w:rFonts w:ascii="Calibri" w:hAnsi="Calibri" w:eastAsia="宋体" w:cs="Times New Roman"/>
      <w:sz w:val="18"/>
      <w:szCs w:val="18"/>
    </w:rPr>
  </w:style>
  <w:style w:type="paragraph" w:customStyle="1" w:styleId="33">
    <w:name w:val="列出段落13"/>
    <w:basedOn w:val="1"/>
    <w:qFormat/>
    <w:uiPriority w:val="0"/>
    <w:pPr>
      <w:spacing w:beforeLines="0" w:afterLines="0"/>
      <w:ind w:firstLine="420"/>
    </w:pPr>
    <w:rPr>
      <w:rFonts w:cs="黑体"/>
      <w:kern w:val="0"/>
      <w:sz w:val="24"/>
      <w:szCs w:val="22"/>
    </w:rPr>
  </w:style>
  <w:style w:type="character" w:customStyle="1" w:styleId="34">
    <w:name w:val="页眉 字符"/>
    <w:basedOn w:val="20"/>
    <w:link w:val="13"/>
    <w:qFormat/>
    <w:uiPriority w:val="99"/>
    <w:rPr>
      <w:rFonts w:ascii="Calibri" w:hAnsi="Calibri" w:eastAsia="宋体" w:cs="Times New Roman"/>
      <w:sz w:val="18"/>
      <w:szCs w:val="18"/>
    </w:rPr>
  </w:style>
  <w:style w:type="paragraph" w:customStyle="1" w:styleId="35">
    <w:name w:val="TOC 标题1"/>
    <w:basedOn w:val="2"/>
    <w:next w:val="1"/>
    <w:unhideWhenUsed/>
    <w:qFormat/>
    <w:uiPriority w:val="39"/>
    <w:pPr>
      <w:spacing w:before="480" w:line="276" w:lineRule="auto"/>
      <w:outlineLvl w:val="9"/>
    </w:pPr>
    <w:rPr>
      <w:rFonts w:asciiTheme="majorHAnsi" w:hAnsiTheme="majorHAnsi" w:eastAsiaTheme="majorEastAsia" w:cstheme="majorBidi"/>
      <w:color w:val="2E75B6" w:themeColor="accent1" w:themeShade="BF"/>
      <w:kern w:val="0"/>
      <w:sz w:val="28"/>
      <w:szCs w:val="28"/>
    </w:rPr>
  </w:style>
  <w:style w:type="paragraph" w:customStyle="1" w:styleId="36">
    <w:name w:val="列出段落8"/>
    <w:basedOn w:val="1"/>
    <w:qFormat/>
    <w:uiPriority w:val="99"/>
    <w:pPr>
      <w:widowControl/>
      <w:spacing w:beforeLines="0" w:afterLines="0"/>
      <w:ind w:firstLine="420"/>
      <w:jc w:val="left"/>
    </w:pPr>
    <w:rPr>
      <w:rFonts w:ascii="Times New Roman" w:hAnsi="Times New Roman"/>
      <w:kern w:val="0"/>
      <w:sz w:val="24"/>
      <w:szCs w:val="24"/>
    </w:rPr>
  </w:style>
  <w:style w:type="paragraph" w:customStyle="1" w:styleId="37">
    <w:name w:val="列出段落5"/>
    <w:basedOn w:val="1"/>
    <w:qFormat/>
    <w:uiPriority w:val="0"/>
    <w:pPr>
      <w:widowControl/>
      <w:spacing w:beforeLines="0" w:afterLines="0"/>
      <w:ind w:firstLine="420"/>
      <w:jc w:val="left"/>
    </w:pPr>
    <w:rPr>
      <w:rFonts w:ascii="Times New Roman" w:hAnsi="Times New Roman"/>
      <w:kern w:val="0"/>
      <w:sz w:val="24"/>
      <w:szCs w:val="24"/>
    </w:rPr>
  </w:style>
  <w:style w:type="paragraph" w:customStyle="1" w:styleId="38">
    <w:name w:val="TOC 标题11"/>
    <w:basedOn w:val="2"/>
    <w:next w:val="1"/>
    <w:unhideWhenUsed/>
    <w:qFormat/>
    <w:uiPriority w:val="39"/>
    <w:pPr>
      <w:spacing w:before="480" w:line="276" w:lineRule="auto"/>
      <w:outlineLvl w:val="9"/>
    </w:pPr>
    <w:rPr>
      <w:rFonts w:asciiTheme="majorHAnsi" w:hAnsiTheme="majorHAnsi" w:eastAsiaTheme="majorEastAsia" w:cstheme="majorBidi"/>
      <w:color w:val="2E75B6" w:themeColor="accent1" w:themeShade="BF"/>
      <w:kern w:val="0"/>
      <w:sz w:val="28"/>
      <w:szCs w:val="28"/>
    </w:rPr>
  </w:style>
  <w:style w:type="character" w:customStyle="1" w:styleId="39">
    <w:name w:val="标题 2 字符"/>
    <w:basedOn w:val="20"/>
    <w:link w:val="3"/>
    <w:qFormat/>
    <w:uiPriority w:val="9"/>
    <w:rPr>
      <w:rFonts w:asciiTheme="majorHAnsi" w:hAnsiTheme="majorHAnsi" w:eastAsiaTheme="majorEastAsia" w:cstheme="majorBidi"/>
      <w:b/>
      <w:bCs/>
      <w:sz w:val="32"/>
      <w:szCs w:val="32"/>
    </w:rPr>
  </w:style>
  <w:style w:type="paragraph" w:customStyle="1" w:styleId="40">
    <w:name w:val="font5"/>
    <w:basedOn w:val="1"/>
    <w:qFormat/>
    <w:uiPriority w:val="0"/>
    <w:pPr>
      <w:widowControl/>
      <w:spacing w:beforeLines="0" w:beforeAutospacing="1" w:afterLines="0" w:afterAutospacing="1"/>
      <w:ind w:firstLine="0" w:firstLineChars="0"/>
      <w:jc w:val="left"/>
    </w:pPr>
    <w:rPr>
      <w:rFonts w:ascii="宋体" w:hAnsi="宋体" w:cs="宋体"/>
      <w:kern w:val="0"/>
      <w:sz w:val="18"/>
      <w:szCs w:val="18"/>
    </w:rPr>
  </w:style>
  <w:style w:type="paragraph" w:customStyle="1" w:styleId="41">
    <w:name w:val="font6"/>
    <w:basedOn w:val="1"/>
    <w:qFormat/>
    <w:uiPriority w:val="0"/>
    <w:pPr>
      <w:widowControl/>
      <w:spacing w:beforeLines="0" w:beforeAutospacing="1" w:afterLines="0" w:afterAutospacing="1"/>
      <w:ind w:firstLine="0" w:firstLineChars="0"/>
      <w:jc w:val="left"/>
    </w:pPr>
    <w:rPr>
      <w:rFonts w:ascii="宋体" w:hAnsi="宋体" w:cs="宋体"/>
      <w:kern w:val="0"/>
      <w:sz w:val="18"/>
      <w:szCs w:val="18"/>
    </w:rPr>
  </w:style>
  <w:style w:type="paragraph" w:customStyle="1" w:styleId="42">
    <w:name w:val="font7"/>
    <w:basedOn w:val="1"/>
    <w:qFormat/>
    <w:uiPriority w:val="0"/>
    <w:pPr>
      <w:widowControl/>
      <w:spacing w:beforeLines="0" w:beforeAutospacing="1" w:afterLines="0" w:afterAutospacing="1"/>
      <w:ind w:firstLine="0" w:firstLineChars="0"/>
      <w:jc w:val="left"/>
    </w:pPr>
    <w:rPr>
      <w:rFonts w:ascii="Times New Roman" w:hAnsi="Times New Roman"/>
      <w:color w:val="000000"/>
      <w:kern w:val="0"/>
    </w:rPr>
  </w:style>
  <w:style w:type="paragraph" w:customStyle="1" w:styleId="43">
    <w:name w:val="font8"/>
    <w:basedOn w:val="1"/>
    <w:qFormat/>
    <w:uiPriority w:val="0"/>
    <w:pPr>
      <w:widowControl/>
      <w:spacing w:beforeLines="0" w:beforeAutospacing="1" w:afterLines="0" w:afterAutospacing="1"/>
      <w:ind w:firstLine="0" w:firstLineChars="0"/>
      <w:jc w:val="left"/>
    </w:pPr>
    <w:rPr>
      <w:rFonts w:ascii="宋体" w:hAnsi="宋体" w:cs="宋体"/>
      <w:color w:val="000000"/>
      <w:kern w:val="0"/>
    </w:rPr>
  </w:style>
  <w:style w:type="paragraph" w:customStyle="1" w:styleId="44">
    <w:name w:val="xl64"/>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Lines="0" w:afterAutospacing="1"/>
      <w:ind w:firstLine="0" w:firstLineChars="0"/>
      <w:jc w:val="center"/>
    </w:pPr>
    <w:rPr>
      <w:rFonts w:ascii="宋体" w:hAnsi="宋体" w:cs="宋体"/>
      <w:b/>
      <w:bCs/>
      <w:kern w:val="0"/>
      <w:sz w:val="24"/>
      <w:szCs w:val="24"/>
    </w:rPr>
  </w:style>
  <w:style w:type="paragraph" w:customStyle="1" w:styleId="45">
    <w:name w:val="xl65"/>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Lines="0" w:afterAutospacing="1"/>
      <w:ind w:firstLine="0" w:firstLineChars="0"/>
      <w:jc w:val="left"/>
    </w:pPr>
    <w:rPr>
      <w:rFonts w:ascii="宋体" w:hAnsi="宋体" w:cs="宋体"/>
      <w:kern w:val="0"/>
      <w:sz w:val="24"/>
      <w:szCs w:val="24"/>
    </w:rPr>
  </w:style>
  <w:style w:type="paragraph" w:customStyle="1" w:styleId="4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Lines="0" w:beforeAutospacing="1" w:afterLines="0" w:afterAutospacing="1"/>
      <w:ind w:firstLine="0" w:firstLineChars="0"/>
      <w:jc w:val="left"/>
    </w:pPr>
    <w:rPr>
      <w:rFonts w:ascii="宋体" w:hAnsi="宋体" w:cs="宋体"/>
      <w:kern w:val="0"/>
      <w:sz w:val="24"/>
      <w:szCs w:val="24"/>
    </w:rPr>
  </w:style>
  <w:style w:type="paragraph" w:customStyle="1" w:styleId="47">
    <w:name w:val="xl67"/>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Lines="0" w:afterAutospacing="1"/>
      <w:ind w:firstLine="0" w:firstLineChars="0"/>
      <w:jc w:val="center"/>
    </w:pPr>
    <w:rPr>
      <w:rFonts w:ascii="宋体" w:hAnsi="宋体" w:cs="宋体"/>
      <w:kern w:val="0"/>
      <w:sz w:val="24"/>
      <w:szCs w:val="24"/>
    </w:rPr>
  </w:style>
  <w:style w:type="paragraph" w:customStyle="1" w:styleId="48">
    <w:name w:val="xl68"/>
    <w:basedOn w:val="1"/>
    <w:qFormat/>
    <w:uiPriority w:val="0"/>
    <w:pPr>
      <w:widowControl/>
      <w:pBdr>
        <w:top w:val="single" w:color="auto" w:sz="4" w:space="0"/>
        <w:left w:val="single" w:color="auto" w:sz="4" w:space="0"/>
        <w:bottom w:val="single" w:color="auto" w:sz="4" w:space="0"/>
        <w:right w:val="single" w:color="auto" w:sz="4" w:space="0"/>
      </w:pBdr>
      <w:spacing w:beforeLines="0" w:beforeAutospacing="1" w:afterLines="0" w:afterAutospacing="1"/>
      <w:ind w:firstLine="0" w:firstLineChars="0"/>
      <w:jc w:val="center"/>
    </w:pPr>
    <w:rPr>
      <w:rFonts w:ascii="宋体" w:hAnsi="宋体" w:cs="宋体"/>
      <w:b/>
      <w:bCs/>
      <w:kern w:val="0"/>
      <w:sz w:val="24"/>
      <w:szCs w:val="24"/>
    </w:rPr>
  </w:style>
  <w:style w:type="paragraph" w:customStyle="1" w:styleId="49">
    <w:name w:val="xl69"/>
    <w:basedOn w:val="1"/>
    <w:qFormat/>
    <w:uiPriority w:val="0"/>
    <w:pPr>
      <w:widowControl/>
      <w:spacing w:beforeLines="0" w:beforeAutospacing="1" w:afterLines="0" w:afterAutospacing="1"/>
      <w:ind w:firstLine="0" w:firstLineChars="0"/>
      <w:jc w:val="left"/>
    </w:pPr>
    <w:rPr>
      <w:rFonts w:ascii="宋体" w:hAnsi="宋体" w:cs="宋体"/>
      <w:kern w:val="0"/>
      <w:sz w:val="24"/>
      <w:szCs w:val="24"/>
    </w:rPr>
  </w:style>
  <w:style w:type="character" w:customStyle="1" w:styleId="50">
    <w:name w:val="批注框文本 字符"/>
    <w:basedOn w:val="20"/>
    <w:link w:val="11"/>
    <w:semiHidden/>
    <w:qFormat/>
    <w:uiPriority w:val="99"/>
    <w:rPr>
      <w:rFonts w:ascii="Calibri" w:hAnsi="Calibri" w:eastAsia="宋体" w:cs="Times New Roman"/>
      <w:sz w:val="18"/>
      <w:szCs w:val="18"/>
    </w:rPr>
  </w:style>
  <w:style w:type="paragraph" w:customStyle="1" w:styleId="51">
    <w:name w:val="xl70"/>
    <w:basedOn w:val="1"/>
    <w:qFormat/>
    <w:uiPriority w:val="0"/>
    <w:pPr>
      <w:widowControl/>
      <w:pBdr>
        <w:bottom w:val="single" w:color="auto" w:sz="8" w:space="0"/>
        <w:right w:val="single" w:color="auto" w:sz="8" w:space="0"/>
      </w:pBdr>
      <w:spacing w:beforeLines="0" w:beforeAutospacing="1" w:afterLines="0" w:afterAutospacing="1"/>
      <w:ind w:firstLine="0" w:firstLineChars="0"/>
      <w:jc w:val="center"/>
    </w:pPr>
    <w:rPr>
      <w:rFonts w:ascii="宋体" w:hAnsi="宋体" w:cs="宋体"/>
      <w:kern w:val="0"/>
      <w:sz w:val="24"/>
      <w:szCs w:val="24"/>
    </w:rPr>
  </w:style>
  <w:style w:type="paragraph" w:customStyle="1" w:styleId="52">
    <w:name w:val="无间隔1"/>
    <w:qFormat/>
    <w:uiPriority w:val="1"/>
    <w:pPr>
      <w:widowControl w:val="0"/>
      <w:spacing w:beforeLines="10" w:afterLines="10"/>
      <w:ind w:firstLine="200" w:firstLineChars="200"/>
      <w:jc w:val="both"/>
    </w:pPr>
    <w:rPr>
      <w:rFonts w:ascii="Calibri" w:hAnsi="Calibri" w:eastAsia="宋体" w:cs="Times New Roman"/>
      <w:kern w:val="2"/>
      <w:sz w:val="21"/>
      <w:szCs w:val="21"/>
      <w:lang w:val="en-US" w:eastAsia="zh-CN" w:bidi="ar-SA"/>
    </w:rPr>
  </w:style>
  <w:style w:type="paragraph" w:customStyle="1" w:styleId="53">
    <w:name w:val="CM5"/>
    <w:basedOn w:val="28"/>
    <w:next w:val="28"/>
    <w:qFormat/>
    <w:uiPriority w:val="99"/>
    <w:pPr>
      <w:spacing w:line="626" w:lineRule="atLeast"/>
    </w:pPr>
    <w:rPr>
      <w:rFonts w:ascii="方正小标宋简体" w:eastAsia="方正小标宋简体" w:hAnsiTheme="minorHAnsi" w:cstheme="minorBidi"/>
      <w:color w:val="auto"/>
    </w:rPr>
  </w:style>
  <w:style w:type="paragraph" w:customStyle="1" w:styleId="54">
    <w:name w:val="CM12"/>
    <w:basedOn w:val="28"/>
    <w:next w:val="28"/>
    <w:qFormat/>
    <w:uiPriority w:val="99"/>
    <w:pPr>
      <w:spacing w:line="626" w:lineRule="atLeast"/>
    </w:pPr>
    <w:rPr>
      <w:rFonts w:ascii="方正小标宋简体" w:eastAsia="方正小标宋简体" w:hAnsiTheme="minorHAnsi" w:cstheme="minorBidi"/>
      <w:color w:val="auto"/>
    </w:rPr>
  </w:style>
  <w:style w:type="paragraph" w:customStyle="1" w:styleId="55">
    <w:name w:val="CM2"/>
    <w:basedOn w:val="28"/>
    <w:next w:val="28"/>
    <w:qFormat/>
    <w:uiPriority w:val="99"/>
    <w:pPr>
      <w:spacing w:line="626" w:lineRule="atLeast"/>
    </w:pPr>
    <w:rPr>
      <w:rFonts w:ascii="方正小标宋简体" w:eastAsia="方正小标宋简体" w:hAnsiTheme="minorHAnsi" w:cstheme="minorBidi"/>
      <w:color w:val="auto"/>
    </w:rPr>
  </w:style>
  <w:style w:type="character" w:customStyle="1" w:styleId="56">
    <w:name w:val="标题 4 字符"/>
    <w:basedOn w:val="20"/>
    <w:link w:val="5"/>
    <w:qFormat/>
    <w:uiPriority w:val="9"/>
    <w:rPr>
      <w:rFonts w:asciiTheme="majorHAnsi" w:hAnsiTheme="majorHAnsi" w:eastAsiaTheme="majorEastAsia" w:cstheme="majorBidi"/>
      <w:b/>
      <w:bCs/>
      <w:kern w:val="2"/>
      <w:sz w:val="28"/>
      <w:szCs w:val="28"/>
    </w:rPr>
  </w:style>
  <w:style w:type="character" w:customStyle="1" w:styleId="57">
    <w:name w:val="批注文字 字符"/>
    <w:basedOn w:val="20"/>
    <w:link w:val="6"/>
    <w:semiHidden/>
    <w:qFormat/>
    <w:uiPriority w:val="99"/>
    <w:rPr>
      <w:rFonts w:ascii="Calibri" w:hAnsi="Calibri" w:eastAsia="宋体" w:cs="Times New Roman"/>
      <w:kern w:val="2"/>
      <w:sz w:val="21"/>
      <w:szCs w:val="21"/>
    </w:rPr>
  </w:style>
  <w:style w:type="character" w:customStyle="1" w:styleId="58">
    <w:name w:val="批注主题 字符"/>
    <w:basedOn w:val="57"/>
    <w:link w:val="17"/>
    <w:semiHidden/>
    <w:qFormat/>
    <w:uiPriority w:val="99"/>
    <w:rPr>
      <w:rFonts w:ascii="Calibri" w:hAnsi="Calibri" w:eastAsia="宋体" w:cs="Times New Roman"/>
      <w:b/>
      <w:bCs/>
      <w:kern w:val="2"/>
      <w:sz w:val="21"/>
      <w:szCs w:val="21"/>
    </w:rPr>
  </w:style>
  <w:style w:type="character" w:customStyle="1" w:styleId="59">
    <w:name w:val="标题 3 字符"/>
    <w:basedOn w:val="20"/>
    <w:link w:val="4"/>
    <w:qFormat/>
    <w:uiPriority w:val="9"/>
    <w:rPr>
      <w:rFonts w:ascii="Calibri" w:hAnsi="Calibri" w:eastAsia="宋体" w:cs="Times New Roman"/>
      <w:b/>
      <w:bCs/>
      <w:kern w:val="2"/>
      <w:sz w:val="32"/>
      <w:szCs w:val="32"/>
    </w:rPr>
  </w:style>
  <w:style w:type="paragraph" w:customStyle="1" w:styleId="60">
    <w:name w:val="列出段落2"/>
    <w:basedOn w:val="1"/>
    <w:qFormat/>
    <w:uiPriority w:val="34"/>
    <w:pPr>
      <w:ind w:firstLine="420"/>
    </w:pPr>
  </w:style>
  <w:style w:type="character" w:customStyle="1" w:styleId="61">
    <w:name w:val="正文文本 字符"/>
    <w:basedOn w:val="20"/>
    <w:link w:val="7"/>
    <w:qFormat/>
    <w:uiPriority w:val="0"/>
    <w:rPr>
      <w:rFonts w:ascii="Calibri" w:hAnsi="Calibri" w:eastAsia="宋体" w:cs="Times New Roman"/>
      <w:kern w:val="2"/>
      <w:sz w:val="21"/>
      <w:szCs w:val="21"/>
    </w:rPr>
  </w:style>
  <w:style w:type="character" w:customStyle="1" w:styleId="62">
    <w:name w:val="标题 1 Char2"/>
    <w:qFormat/>
    <w:uiPriority w:val="0"/>
    <w:rPr>
      <w:rFonts w:ascii="Times New Roman" w:hAnsi="Times New Roman" w:eastAsia="黑体"/>
      <w:kern w:val="44"/>
      <w:sz w:val="32"/>
      <w:szCs w:val="32"/>
    </w:rPr>
  </w:style>
  <w:style w:type="character" w:customStyle="1" w:styleId="63">
    <w:name w:val="标题 字符"/>
    <w:basedOn w:val="20"/>
    <w:link w:val="8"/>
    <w:qFormat/>
    <w:uiPriority w:val="10"/>
    <w:rPr>
      <w:rFonts w:eastAsia="宋体" w:asciiTheme="majorHAnsi" w:hAnsiTheme="majorHAnsi" w:cstheme="majorBidi"/>
      <w:b/>
      <w:bCs/>
      <w:kern w:val="2"/>
      <w:sz w:val="32"/>
      <w:szCs w:val="32"/>
    </w:rPr>
  </w:style>
  <w:style w:type="paragraph" w:customStyle="1" w:styleId="64">
    <w:name w:val="列出段落3"/>
    <w:basedOn w:val="1"/>
    <w:qFormat/>
    <w:uiPriority w:val="99"/>
    <w:pPr>
      <w:ind w:firstLine="420"/>
    </w:pPr>
  </w:style>
  <w:style w:type="paragraph" w:styleId="65">
    <w:name w:val="List Paragraph"/>
    <w:basedOn w:val="1"/>
    <w:qFormat/>
    <w:uiPriority w:val="34"/>
    <w:pPr>
      <w:ind w:firstLine="420"/>
    </w:pPr>
  </w:style>
  <w:style w:type="paragraph" w:customStyle="1" w:styleId="66">
    <w:name w:val="msonormal"/>
    <w:basedOn w:val="1"/>
    <w:qFormat/>
    <w:uiPriority w:val="0"/>
    <w:pPr>
      <w:widowControl/>
      <w:spacing w:before="100" w:beforeLines="0" w:beforeAutospacing="1" w:after="100" w:afterLines="0" w:afterAutospacing="1"/>
      <w:ind w:firstLine="0" w:firstLineChars="0"/>
      <w:jc w:val="left"/>
    </w:pPr>
    <w:rPr>
      <w:rFonts w:ascii="宋体" w:hAnsi="宋体" w:cs="宋体"/>
      <w:kern w:val="0"/>
      <w:sz w:val="24"/>
      <w:szCs w:val="24"/>
    </w:rPr>
  </w:style>
  <w:style w:type="paragraph" w:customStyle="1" w:styleId="67">
    <w:name w:val="font9"/>
    <w:basedOn w:val="1"/>
    <w:qFormat/>
    <w:uiPriority w:val="0"/>
    <w:pPr>
      <w:widowControl/>
      <w:spacing w:before="100" w:beforeLines="0" w:beforeAutospacing="1" w:after="100" w:afterLines="0" w:afterAutospacing="1"/>
      <w:ind w:firstLine="0" w:firstLineChars="0"/>
      <w:jc w:val="left"/>
    </w:pPr>
    <w:rPr>
      <w:rFonts w:ascii="宋体" w:hAnsi="宋体" w:cs="宋体"/>
      <w:kern w:val="0"/>
      <w:sz w:val="18"/>
      <w:szCs w:val="18"/>
    </w:rPr>
  </w:style>
  <w:style w:type="paragraph" w:customStyle="1" w:styleId="6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ind w:firstLine="0" w:firstLineChars="0"/>
      <w:jc w:val="left"/>
      <w:textAlignment w:val="center"/>
    </w:pPr>
    <w:rPr>
      <w:rFonts w:ascii="Times New Roman" w:hAnsi="Times New Roman"/>
      <w:kern w:val="0"/>
      <w:sz w:val="20"/>
      <w:szCs w:val="20"/>
    </w:rPr>
  </w:style>
  <w:style w:type="paragraph" w:customStyle="1" w:styleId="6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ind w:firstLine="0" w:firstLineChars="0"/>
      <w:jc w:val="center"/>
      <w:textAlignment w:val="center"/>
    </w:pPr>
    <w:rPr>
      <w:rFonts w:ascii="宋体" w:hAnsi="宋体" w:cs="宋体"/>
      <w:kern w:val="0"/>
      <w:sz w:val="20"/>
      <w:szCs w:val="20"/>
    </w:rPr>
  </w:style>
  <w:style w:type="paragraph" w:customStyle="1" w:styleId="7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ind w:firstLine="0" w:firstLineChars="0"/>
      <w:jc w:val="left"/>
      <w:textAlignment w:val="center"/>
    </w:pPr>
    <w:rPr>
      <w:rFonts w:ascii="宋体" w:hAnsi="宋体" w:cs="宋体"/>
      <w:kern w:val="0"/>
      <w:sz w:val="20"/>
      <w:szCs w:val="20"/>
    </w:rPr>
  </w:style>
  <w:style w:type="paragraph" w:customStyle="1" w:styleId="71">
    <w:name w:val="xl7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ind w:firstLine="0" w:firstLineChars="0"/>
      <w:jc w:val="center"/>
      <w:textAlignment w:val="center"/>
    </w:pPr>
    <w:rPr>
      <w:rFonts w:ascii="宋体" w:hAnsi="宋体" w:cs="宋体"/>
      <w:b/>
      <w:bCs/>
      <w:kern w:val="0"/>
      <w:sz w:val="20"/>
      <w:szCs w:val="20"/>
    </w:rPr>
  </w:style>
  <w:style w:type="paragraph" w:customStyle="1" w:styleId="72">
    <w:name w:val="xl75"/>
    <w:basedOn w:val="1"/>
    <w:qFormat/>
    <w:uiPriority w:val="0"/>
    <w:pPr>
      <w:widowControl/>
      <w:pBdr>
        <w:top w:val="single" w:color="auto" w:sz="4" w:space="0"/>
        <w:bottom w:val="single" w:color="auto" w:sz="4" w:space="0"/>
      </w:pBdr>
      <w:spacing w:before="100" w:beforeLines="0" w:beforeAutospacing="1" w:after="100" w:afterLines="0" w:afterAutospacing="1"/>
      <w:ind w:firstLine="0" w:firstLineChars="0"/>
      <w:jc w:val="center"/>
      <w:textAlignment w:val="center"/>
    </w:pPr>
    <w:rPr>
      <w:rFonts w:ascii="Times New Roman" w:hAnsi="Times New Roman"/>
      <w:b/>
      <w:bCs/>
      <w:kern w:val="0"/>
      <w:sz w:val="20"/>
      <w:szCs w:val="20"/>
    </w:rPr>
  </w:style>
  <w:style w:type="paragraph" w:customStyle="1" w:styleId="7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ind w:firstLine="0" w:firstLineChars="0"/>
      <w:jc w:val="center"/>
      <w:textAlignment w:val="center"/>
    </w:pPr>
    <w:rPr>
      <w:rFonts w:ascii="宋体" w:hAnsi="宋体" w:cs="宋体"/>
      <w:b/>
      <w:bCs/>
      <w:kern w:val="0"/>
      <w:sz w:val="20"/>
      <w:szCs w:val="20"/>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ind w:firstLine="0" w:firstLineChars="0"/>
      <w:jc w:val="center"/>
      <w:textAlignment w:val="center"/>
    </w:pPr>
    <w:rPr>
      <w:rFonts w:ascii="Times New Roman" w:hAnsi="Times New Roman"/>
      <w:b/>
      <w:bCs/>
      <w:kern w:val="0"/>
      <w:sz w:val="20"/>
      <w:szCs w:val="20"/>
    </w:rPr>
  </w:style>
  <w:style w:type="paragraph" w:customStyle="1" w:styleId="75">
    <w:name w:val="xl78"/>
    <w:basedOn w:val="1"/>
    <w:qFormat/>
    <w:uiPriority w:val="0"/>
    <w:pPr>
      <w:widowControl/>
      <w:pBdr>
        <w:left w:val="single" w:color="auto" w:sz="4" w:space="0"/>
        <w:bottom w:val="single" w:color="auto" w:sz="4" w:space="0"/>
      </w:pBdr>
      <w:spacing w:before="100" w:beforeLines="0" w:beforeAutospacing="1" w:after="100" w:afterLines="0" w:afterAutospacing="1"/>
      <w:ind w:firstLine="0" w:firstLineChars="0"/>
      <w:jc w:val="center"/>
      <w:textAlignment w:val="center"/>
    </w:pPr>
    <w:rPr>
      <w:rFonts w:ascii="宋体" w:hAnsi="宋体" w:cs="宋体"/>
      <w:b/>
      <w:bCs/>
      <w:kern w:val="0"/>
      <w:sz w:val="20"/>
      <w:szCs w:val="20"/>
    </w:rPr>
  </w:style>
  <w:style w:type="paragraph" w:customStyle="1" w:styleId="76">
    <w:name w:val="xl79"/>
    <w:basedOn w:val="1"/>
    <w:qFormat/>
    <w:uiPriority w:val="0"/>
    <w:pPr>
      <w:widowControl/>
      <w:pBdr>
        <w:bottom w:val="single" w:color="auto" w:sz="4" w:space="0"/>
      </w:pBdr>
      <w:spacing w:before="100" w:beforeLines="0" w:beforeAutospacing="1" w:after="100" w:afterLines="0" w:afterAutospacing="1"/>
      <w:ind w:firstLine="0" w:firstLineChars="0"/>
      <w:jc w:val="center"/>
      <w:textAlignment w:val="center"/>
    </w:pPr>
    <w:rPr>
      <w:rFonts w:ascii="Times New Roman" w:hAnsi="Times New Roman"/>
      <w:b/>
      <w:bCs/>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image" Target="media/image6.emf"/><Relationship Id="rId35" Type="http://schemas.openxmlformats.org/officeDocument/2006/relationships/oleObject" Target="embeddings/oleObject6.bin"/><Relationship Id="rId34" Type="http://schemas.openxmlformats.org/officeDocument/2006/relationships/image" Target="media/image5.emf"/><Relationship Id="rId33" Type="http://schemas.openxmlformats.org/officeDocument/2006/relationships/oleObject" Target="embeddings/oleObject5.bin"/><Relationship Id="rId32" Type="http://schemas.openxmlformats.org/officeDocument/2006/relationships/image" Target="media/image4.emf"/><Relationship Id="rId31" Type="http://schemas.openxmlformats.org/officeDocument/2006/relationships/oleObject" Target="embeddings/oleObject4.bin"/><Relationship Id="rId30" Type="http://schemas.openxmlformats.org/officeDocument/2006/relationships/image" Target="media/image3.emf"/><Relationship Id="rId3" Type="http://schemas.openxmlformats.org/officeDocument/2006/relationships/footnotes" Target="footnotes.xml"/><Relationship Id="rId29" Type="http://schemas.openxmlformats.org/officeDocument/2006/relationships/oleObject" Target="embeddings/oleObject3.bin"/><Relationship Id="rId28" Type="http://schemas.openxmlformats.org/officeDocument/2006/relationships/image" Target="media/image2.emf"/><Relationship Id="rId27" Type="http://schemas.openxmlformats.org/officeDocument/2006/relationships/oleObject" Target="embeddings/oleObject2.bin"/><Relationship Id="rId26" Type="http://schemas.openxmlformats.org/officeDocument/2006/relationships/image" Target="media/image1.emf"/><Relationship Id="rId25" Type="http://schemas.openxmlformats.org/officeDocument/2006/relationships/oleObject" Target="embeddings/oleObject1.bin"/><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MIS</Company>
  <Pages>36</Pages>
  <Words>3334</Words>
  <Characters>19005</Characters>
  <Lines>158</Lines>
  <Paragraphs>44</Paragraphs>
  <TotalTime>114</TotalTime>
  <ScaleCrop>false</ScaleCrop>
  <LinksUpToDate>false</LinksUpToDate>
  <CharactersWithSpaces>22295</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2023-01-08T15:43:00Z</dcterms:created>
  <dc:creator>liulanbing</dc:creator>
  <cp:lastModifiedBy>崔志广</cp:lastModifiedBy>
  <cp:lastPrinted>2023-01-09T09:34:00Z</cp:lastPrinted>
  <dcterms:modified xsi:type="dcterms:W3CDTF">2023-05-22T08:48:19Z</dcterms:modified>
  <dc:title>工业领域碳达峰碳中和标准体系</dc:title>
  <cp:revision>698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78AD9EF557544B63A9E030249EA1A0C1_13</vt:lpwstr>
  </property>
</Properties>
</file>